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FEA20" w14:textId="77777777" w:rsidR="008821B7" w:rsidRPr="0076174C" w:rsidRDefault="008821B7" w:rsidP="008821B7">
      <w:pPr>
        <w:pStyle w:val="Entry1withLine"/>
        <w:pBdr>
          <w:bottom w:val="none" w:sz="0" w:space="0" w:color="auto"/>
          <w:between w:val="none" w:sz="0" w:space="0" w:color="auto"/>
        </w:pBdr>
        <w:spacing w:after="120"/>
        <w:jc w:val="both"/>
        <w:rPr>
          <w:rFonts w:ascii="Trebuchet MS" w:hAnsi="Trebuchet MS" w:cs="Arial"/>
          <w:b/>
          <w:bCs/>
          <w:color w:val="0E4096"/>
          <w:lang w:val="en-GB"/>
        </w:rPr>
      </w:pPr>
      <w:r w:rsidRPr="0076174C">
        <w:rPr>
          <w:rFonts w:ascii="Trebuchet MS" w:hAnsi="Trebuchet MS" w:cs="Arial"/>
          <w:b/>
          <w:bCs/>
          <w:color w:val="0E4096"/>
          <w:lang w:val="en-GB"/>
        </w:rPr>
        <w:t xml:space="preserve">HARMONISED IMPLEMENTATION TOOLS FOR </w:t>
      </w:r>
      <w:r>
        <w:rPr>
          <w:rFonts w:ascii="Trebuchet MS" w:hAnsi="Trebuchet MS" w:cs="Arial"/>
          <w:b/>
          <w:bCs/>
          <w:color w:val="0E4096"/>
          <w:lang w:val="en-GB"/>
        </w:rPr>
        <w:t>INTERREG</w:t>
      </w:r>
      <w:r w:rsidRPr="0076174C">
        <w:rPr>
          <w:rFonts w:ascii="Trebuchet MS" w:hAnsi="Trebuchet MS" w:cs="Arial"/>
          <w:b/>
          <w:bCs/>
          <w:color w:val="0E4096"/>
          <w:lang w:val="en-GB"/>
        </w:rPr>
        <w:t xml:space="preserve"> PROGRAMMES</w:t>
      </w:r>
      <w:r>
        <w:rPr>
          <w:rFonts w:ascii="Trebuchet MS" w:hAnsi="Trebuchet MS" w:cs="Arial"/>
          <w:b/>
          <w:bCs/>
          <w:color w:val="0E4096"/>
          <w:lang w:val="en-GB"/>
        </w:rPr>
        <w:t xml:space="preserve"> – TN AND CBC</w:t>
      </w:r>
    </w:p>
    <w:p w14:paraId="0E400D0A" w14:textId="6FA8C8C9" w:rsidR="009F25AF" w:rsidRPr="008821B7" w:rsidRDefault="00901504" w:rsidP="009F25AF">
      <w:pPr>
        <w:spacing w:after="240"/>
        <w:rPr>
          <w:rFonts w:ascii="Trebuchet MS" w:hAnsi="Trebuchet MS"/>
          <w:b/>
          <w:color w:val="D60093"/>
          <w:lang w:val="en-GB"/>
        </w:rPr>
      </w:pPr>
      <w:r w:rsidRPr="008821B7">
        <w:rPr>
          <w:rFonts w:ascii="Trebuchet MS" w:hAnsi="Trebuchet MS"/>
          <w:b/>
          <w:color w:val="D60093"/>
          <w:lang w:val="en-GB"/>
        </w:rPr>
        <w:t xml:space="preserve">Annex 3 - </w:t>
      </w:r>
      <w:r w:rsidR="009F25AF" w:rsidRPr="008821B7">
        <w:rPr>
          <w:rFonts w:ascii="Trebuchet MS" w:hAnsi="Trebuchet MS"/>
          <w:b/>
          <w:color w:val="D60093"/>
          <w:lang w:val="en-GB"/>
        </w:rPr>
        <w:t xml:space="preserve">INTERNAL Risk Assessment </w:t>
      </w:r>
      <w:r w:rsidR="00AA0BA7" w:rsidRPr="008821B7">
        <w:rPr>
          <w:rFonts w:ascii="Trebuchet MS" w:hAnsi="Trebuchet MS"/>
          <w:b/>
          <w:color w:val="D60093"/>
          <w:lang w:val="en-GB"/>
        </w:rPr>
        <w:t xml:space="preserve">(OPTIONAL) </w:t>
      </w:r>
      <w:r w:rsidR="009F25AF" w:rsidRPr="008821B7">
        <w:rPr>
          <w:rFonts w:ascii="Trebuchet MS" w:hAnsi="Trebuchet MS"/>
          <w:b/>
          <w:color w:val="D60093"/>
          <w:lang w:val="en-GB"/>
        </w:rPr>
        <w:t>(not part of the checklist)</w:t>
      </w:r>
    </w:p>
    <w:p w14:paraId="4A436CF3" w14:textId="4CC901BF" w:rsidR="00901504" w:rsidRPr="008821B7" w:rsidRDefault="000757BC" w:rsidP="00F4680B">
      <w:pPr>
        <w:shd w:val="clear" w:color="auto" w:fill="BFBFBF" w:themeFill="background1" w:themeFillShade="BF"/>
        <w:spacing w:before="60" w:after="60"/>
        <w:rPr>
          <w:rFonts w:ascii="Trebuchet MS" w:hAnsi="Trebuchet MS"/>
          <w:sz w:val="20"/>
          <w:szCs w:val="20"/>
          <w:lang w:val="en-GB"/>
        </w:rPr>
      </w:pPr>
      <w:r w:rsidRPr="000757BC">
        <w:rPr>
          <w:rFonts w:ascii="Trebuchet MS" w:hAnsi="Trebuchet MS"/>
          <w:bCs/>
          <w:sz w:val="20"/>
          <w:u w:val="single"/>
          <w:lang w:val="en-US" w:eastAsia="en-GB"/>
        </w:rPr>
        <w:t xml:space="preserve">Guide to </w:t>
      </w:r>
      <w:proofErr w:type="spellStart"/>
      <w:r w:rsidRPr="000757BC">
        <w:rPr>
          <w:rFonts w:ascii="Trebuchet MS" w:hAnsi="Trebuchet MS"/>
          <w:bCs/>
          <w:sz w:val="20"/>
          <w:u w:val="single"/>
          <w:lang w:val="en-US" w:eastAsia="en-GB"/>
        </w:rPr>
        <w:t>programmes</w:t>
      </w:r>
      <w:proofErr w:type="spellEnd"/>
      <w:r>
        <w:rPr>
          <w:rFonts w:ascii="Trebuchet MS" w:hAnsi="Trebuchet MS"/>
          <w:bCs/>
          <w:sz w:val="20"/>
          <w:u w:val="single"/>
          <w:lang w:val="en-US" w:eastAsia="en-GB"/>
        </w:rPr>
        <w:t xml:space="preserve"> and FLC</w:t>
      </w:r>
      <w:r w:rsidRPr="000757BC">
        <w:rPr>
          <w:rFonts w:ascii="Trebuchet MS" w:hAnsi="Trebuchet MS"/>
          <w:bCs/>
          <w:sz w:val="20"/>
          <w:lang w:val="en-US" w:eastAsia="en-GB"/>
        </w:rPr>
        <w:t xml:space="preserve">: </w:t>
      </w:r>
      <w:r w:rsidR="00901504" w:rsidRPr="000757BC">
        <w:rPr>
          <w:rFonts w:ascii="Trebuchet MS" w:hAnsi="Trebuchet MS"/>
          <w:sz w:val="20"/>
          <w:szCs w:val="20"/>
          <w:lang w:val="en-GB"/>
        </w:rPr>
        <w:t>This is an example of an internal risk assessment for FLC administrative verifications. It can be used as a basis for risk-based controls and</w:t>
      </w:r>
      <w:r w:rsidR="00901504" w:rsidRPr="008821B7">
        <w:rPr>
          <w:rFonts w:ascii="Trebuchet MS" w:hAnsi="Trebuchet MS"/>
          <w:sz w:val="20"/>
          <w:szCs w:val="20"/>
          <w:lang w:val="en-GB"/>
        </w:rPr>
        <w:t xml:space="preserve"> sampling. </w:t>
      </w:r>
      <w:r w:rsidR="00E5747F" w:rsidRPr="008821B7">
        <w:rPr>
          <w:rFonts w:ascii="Trebuchet MS" w:hAnsi="Trebuchet MS"/>
          <w:sz w:val="20"/>
          <w:szCs w:val="20"/>
          <w:lang w:val="en-GB"/>
        </w:rPr>
        <w:t xml:space="preserve">It can also be used as a means to emphasis typical issues in a programme and to raise controllers’ awareness.  </w:t>
      </w:r>
    </w:p>
    <w:p w14:paraId="11A16CAD" w14:textId="6A713217" w:rsidR="00901504" w:rsidRPr="008821B7" w:rsidRDefault="00901504" w:rsidP="00F4680B">
      <w:pPr>
        <w:shd w:val="clear" w:color="auto" w:fill="BFBFBF" w:themeFill="background1" w:themeFillShade="BF"/>
        <w:spacing w:before="60" w:after="60"/>
        <w:rPr>
          <w:rFonts w:ascii="Trebuchet MS" w:hAnsi="Trebuchet MS"/>
          <w:sz w:val="20"/>
          <w:szCs w:val="20"/>
          <w:lang w:val="en-GB"/>
        </w:rPr>
      </w:pPr>
      <w:r w:rsidRPr="008821B7">
        <w:rPr>
          <w:rFonts w:ascii="Trebuchet MS" w:hAnsi="Trebuchet MS"/>
          <w:sz w:val="20"/>
          <w:szCs w:val="20"/>
          <w:lang w:val="en-GB"/>
        </w:rPr>
        <w:t>The template include</w:t>
      </w:r>
      <w:r w:rsidR="00E5747F" w:rsidRPr="008821B7">
        <w:rPr>
          <w:rFonts w:ascii="Trebuchet MS" w:hAnsi="Trebuchet MS"/>
          <w:sz w:val="20"/>
          <w:szCs w:val="20"/>
          <w:lang w:val="en-GB"/>
        </w:rPr>
        <w:t>s</w:t>
      </w:r>
      <w:r w:rsidRPr="008821B7">
        <w:rPr>
          <w:rFonts w:ascii="Trebuchet MS" w:hAnsi="Trebuchet MS"/>
          <w:sz w:val="20"/>
          <w:szCs w:val="20"/>
          <w:lang w:val="en-GB"/>
        </w:rPr>
        <w:t xml:space="preserve"> an </w:t>
      </w:r>
      <w:r w:rsidRPr="008821B7">
        <w:rPr>
          <w:rFonts w:ascii="Trebuchet MS" w:hAnsi="Trebuchet MS"/>
          <w:i/>
          <w:sz w:val="20"/>
          <w:szCs w:val="20"/>
          <w:u w:val="single"/>
          <w:lang w:val="en-GB"/>
        </w:rPr>
        <w:t>assessment of inherent risks</w:t>
      </w:r>
      <w:r w:rsidRPr="008821B7">
        <w:rPr>
          <w:rFonts w:ascii="Trebuchet MS" w:hAnsi="Trebuchet MS"/>
          <w:sz w:val="20"/>
          <w:szCs w:val="20"/>
          <w:lang w:val="en-GB"/>
        </w:rPr>
        <w:t xml:space="preserve"> (</w:t>
      </w:r>
      <w:r w:rsidR="00E5747F" w:rsidRPr="008821B7">
        <w:rPr>
          <w:rFonts w:ascii="Trebuchet MS" w:hAnsi="Trebuchet MS"/>
          <w:sz w:val="20"/>
          <w:szCs w:val="20"/>
          <w:lang w:val="en-GB"/>
        </w:rPr>
        <w:t xml:space="preserve">i.e. </w:t>
      </w:r>
      <w:r w:rsidRPr="008821B7">
        <w:rPr>
          <w:rFonts w:ascii="Trebuchet MS" w:hAnsi="Trebuchet MS"/>
          <w:sz w:val="20"/>
          <w:szCs w:val="20"/>
          <w:lang w:val="en-GB"/>
        </w:rPr>
        <w:t>based on the experience with type</w:t>
      </w:r>
      <w:r w:rsidR="00E5747F" w:rsidRPr="008821B7">
        <w:rPr>
          <w:rFonts w:ascii="Trebuchet MS" w:hAnsi="Trebuchet MS"/>
          <w:sz w:val="20"/>
          <w:szCs w:val="20"/>
          <w:lang w:val="en-GB"/>
        </w:rPr>
        <w:t>s</w:t>
      </w:r>
      <w:r w:rsidRPr="008821B7">
        <w:rPr>
          <w:rFonts w:ascii="Trebuchet MS" w:hAnsi="Trebuchet MS"/>
          <w:sz w:val="20"/>
          <w:szCs w:val="20"/>
          <w:lang w:val="en-GB"/>
        </w:rPr>
        <w:t xml:space="preserve"> of project or project partner)</w:t>
      </w:r>
      <w:r w:rsidR="00E5747F" w:rsidRPr="008821B7">
        <w:rPr>
          <w:rFonts w:ascii="Trebuchet MS" w:hAnsi="Trebuchet MS"/>
          <w:sz w:val="20"/>
          <w:szCs w:val="20"/>
          <w:lang w:val="en-GB"/>
        </w:rPr>
        <w:t>. The list of inherent risks was</w:t>
      </w:r>
      <w:r w:rsidRPr="008821B7">
        <w:rPr>
          <w:rFonts w:ascii="Trebuchet MS" w:hAnsi="Trebuchet MS"/>
          <w:sz w:val="20"/>
          <w:szCs w:val="20"/>
          <w:lang w:val="en-GB"/>
        </w:rPr>
        <w:t xml:space="preserve"> identified by Controllers and Joint secretariats</w:t>
      </w:r>
      <w:r w:rsidR="00E5747F" w:rsidRPr="008821B7">
        <w:rPr>
          <w:rFonts w:ascii="Trebuchet MS" w:hAnsi="Trebuchet MS"/>
          <w:sz w:val="20"/>
          <w:szCs w:val="20"/>
          <w:lang w:val="en-GB"/>
        </w:rPr>
        <w:t xml:space="preserve"> throughout Europe and can be adapted according to programme needs. </w:t>
      </w:r>
      <w:r w:rsidRPr="008821B7">
        <w:rPr>
          <w:rFonts w:ascii="Trebuchet MS" w:hAnsi="Trebuchet MS"/>
          <w:sz w:val="20"/>
          <w:szCs w:val="20"/>
          <w:lang w:val="en-GB"/>
        </w:rPr>
        <w:t xml:space="preserve">In the beginning (prior to the actual control work) </w:t>
      </w:r>
      <w:r w:rsidR="00E5747F" w:rsidRPr="008821B7">
        <w:rPr>
          <w:rFonts w:ascii="Trebuchet MS" w:hAnsi="Trebuchet MS"/>
          <w:sz w:val="20"/>
          <w:szCs w:val="20"/>
          <w:lang w:val="en-GB"/>
        </w:rPr>
        <w:t xml:space="preserve">controllers fill in this table </w:t>
      </w:r>
      <w:r w:rsidRPr="008821B7">
        <w:rPr>
          <w:rFonts w:ascii="Trebuchet MS" w:hAnsi="Trebuchet MS"/>
          <w:sz w:val="20"/>
          <w:szCs w:val="20"/>
          <w:lang w:val="en-GB"/>
        </w:rPr>
        <w:t>for each project partner. If risks are identified</w:t>
      </w:r>
      <w:r w:rsidR="00E5747F" w:rsidRPr="008821B7">
        <w:rPr>
          <w:rFonts w:ascii="Trebuchet MS" w:hAnsi="Trebuchet MS"/>
          <w:sz w:val="20"/>
          <w:szCs w:val="20"/>
          <w:lang w:val="en-GB"/>
        </w:rPr>
        <w:t xml:space="preserve"> (i.e. found </w:t>
      </w:r>
      <w:r w:rsidR="00E5747F" w:rsidRPr="008821B7">
        <w:rPr>
          <w:rFonts w:ascii="Trebuchet MS" w:hAnsi="Trebuchet MS"/>
          <w:i/>
          <w:sz w:val="20"/>
          <w:szCs w:val="20"/>
          <w:lang w:val="en-GB"/>
        </w:rPr>
        <w:t>applicable</w:t>
      </w:r>
      <w:r w:rsidR="00E5747F" w:rsidRPr="008821B7">
        <w:rPr>
          <w:rFonts w:ascii="Trebuchet MS" w:hAnsi="Trebuchet MS"/>
          <w:sz w:val="20"/>
          <w:szCs w:val="20"/>
          <w:lang w:val="en-GB"/>
        </w:rPr>
        <w:t>)</w:t>
      </w:r>
      <w:r w:rsidRPr="008821B7">
        <w:rPr>
          <w:rFonts w:ascii="Trebuchet MS" w:hAnsi="Trebuchet MS"/>
          <w:sz w:val="20"/>
          <w:szCs w:val="20"/>
          <w:lang w:val="en-GB"/>
        </w:rPr>
        <w:t>, specific measures are outlined to address these risks (e.g. additional verifications)</w:t>
      </w:r>
      <w:r w:rsidR="00E5747F" w:rsidRPr="008821B7">
        <w:rPr>
          <w:rFonts w:ascii="Trebuchet MS" w:hAnsi="Trebuchet MS"/>
          <w:sz w:val="20"/>
          <w:szCs w:val="20"/>
          <w:lang w:val="en-GB"/>
        </w:rPr>
        <w:t xml:space="preserve"> and explained in the section ‘Conclusion’</w:t>
      </w:r>
      <w:r w:rsidRPr="008821B7">
        <w:rPr>
          <w:rFonts w:ascii="Trebuchet MS" w:hAnsi="Trebuchet MS"/>
          <w:sz w:val="20"/>
          <w:szCs w:val="20"/>
          <w:lang w:val="en-GB"/>
        </w:rPr>
        <w:t xml:space="preserve">.    </w:t>
      </w:r>
    </w:p>
    <w:p w14:paraId="30CBEC6E" w14:textId="2DDE7A2C" w:rsidR="00901504" w:rsidRPr="008821B7" w:rsidRDefault="00E5747F" w:rsidP="00F4680B">
      <w:pPr>
        <w:shd w:val="clear" w:color="auto" w:fill="BFBFBF" w:themeFill="background1" w:themeFillShade="BF"/>
        <w:spacing w:before="60" w:after="60"/>
        <w:rPr>
          <w:rFonts w:ascii="Trebuchet MS" w:hAnsi="Trebuchet MS"/>
          <w:sz w:val="20"/>
          <w:szCs w:val="20"/>
          <w:lang w:val="en-GB"/>
        </w:rPr>
      </w:pPr>
      <w:r w:rsidRPr="008821B7">
        <w:rPr>
          <w:rFonts w:ascii="Trebuchet MS" w:hAnsi="Trebuchet MS"/>
          <w:sz w:val="20"/>
          <w:szCs w:val="20"/>
          <w:lang w:val="en-GB"/>
        </w:rPr>
        <w:t xml:space="preserve">The template </w:t>
      </w:r>
      <w:r w:rsidR="00901504" w:rsidRPr="008821B7">
        <w:rPr>
          <w:rFonts w:ascii="Trebuchet MS" w:hAnsi="Trebuchet MS"/>
          <w:sz w:val="20"/>
          <w:szCs w:val="20"/>
          <w:lang w:val="en-GB"/>
        </w:rPr>
        <w:t xml:space="preserve">also </w:t>
      </w:r>
      <w:r w:rsidRPr="008821B7">
        <w:rPr>
          <w:rFonts w:ascii="Trebuchet MS" w:hAnsi="Trebuchet MS"/>
          <w:sz w:val="20"/>
          <w:szCs w:val="20"/>
          <w:lang w:val="en-GB"/>
        </w:rPr>
        <w:t xml:space="preserve">includes </w:t>
      </w:r>
      <w:r w:rsidR="00901504" w:rsidRPr="008821B7">
        <w:rPr>
          <w:rFonts w:ascii="Trebuchet MS" w:hAnsi="Trebuchet MS"/>
          <w:sz w:val="20"/>
          <w:szCs w:val="20"/>
          <w:lang w:val="en-GB"/>
        </w:rPr>
        <w:t xml:space="preserve">an </w:t>
      </w:r>
      <w:r w:rsidR="00901504" w:rsidRPr="008821B7">
        <w:rPr>
          <w:rFonts w:ascii="Trebuchet MS" w:hAnsi="Trebuchet MS"/>
          <w:i/>
          <w:sz w:val="20"/>
          <w:szCs w:val="20"/>
          <w:u w:val="single"/>
          <w:lang w:val="en-GB"/>
        </w:rPr>
        <w:t>assessment of control risk</w:t>
      </w:r>
      <w:r w:rsidR="00901504" w:rsidRPr="008821B7">
        <w:rPr>
          <w:rFonts w:ascii="Trebuchet MS" w:hAnsi="Trebuchet MS"/>
          <w:sz w:val="20"/>
          <w:szCs w:val="20"/>
          <w:lang w:val="en-GB"/>
        </w:rPr>
        <w:t xml:space="preserve"> (i.e. is the risk that internal controls of the project partner are not working). </w:t>
      </w:r>
      <w:r w:rsidRPr="008821B7">
        <w:rPr>
          <w:rFonts w:ascii="Trebuchet MS" w:hAnsi="Trebuchet MS"/>
          <w:sz w:val="20"/>
          <w:szCs w:val="20"/>
          <w:lang w:val="en-GB"/>
        </w:rPr>
        <w:t>This is updated for each reporting period after the verification has been completed. It provides information on the quality of the documents submitted to FLC and the reliability of the expenditure reported by cost category. The assessment of control risks can be used to justify sampling (</w:t>
      </w:r>
      <w:r w:rsidR="00A5756F" w:rsidRPr="008821B7">
        <w:rPr>
          <w:rFonts w:ascii="Trebuchet MS" w:hAnsi="Trebuchet MS"/>
          <w:sz w:val="20"/>
          <w:szCs w:val="20"/>
          <w:lang w:val="en-GB"/>
        </w:rPr>
        <w:t xml:space="preserve">e.g. </w:t>
      </w:r>
      <w:r w:rsidRPr="008821B7">
        <w:rPr>
          <w:rFonts w:ascii="Trebuchet MS" w:hAnsi="Trebuchet MS"/>
          <w:sz w:val="20"/>
          <w:szCs w:val="20"/>
          <w:lang w:val="en-GB"/>
        </w:rPr>
        <w:t>in case the quality was good</w:t>
      </w:r>
      <w:r w:rsidR="005A1739" w:rsidRPr="008821B7">
        <w:rPr>
          <w:rFonts w:ascii="Trebuchet MS" w:hAnsi="Trebuchet MS"/>
          <w:sz w:val="20"/>
          <w:szCs w:val="20"/>
          <w:lang w:val="en-GB"/>
        </w:rPr>
        <w:t xml:space="preserve"> this reporting period</w:t>
      </w:r>
      <w:r w:rsidR="00A5756F" w:rsidRPr="008821B7">
        <w:rPr>
          <w:rFonts w:ascii="Trebuchet MS" w:hAnsi="Trebuchet MS"/>
          <w:sz w:val="20"/>
          <w:szCs w:val="20"/>
          <w:lang w:val="en-GB"/>
        </w:rPr>
        <w:t xml:space="preserve"> for a certain cost category, </w:t>
      </w:r>
      <w:r w:rsidR="005A1739" w:rsidRPr="008821B7">
        <w:rPr>
          <w:rFonts w:ascii="Trebuchet MS" w:hAnsi="Trebuchet MS"/>
          <w:sz w:val="20"/>
          <w:szCs w:val="20"/>
          <w:lang w:val="en-GB"/>
        </w:rPr>
        <w:t xml:space="preserve">sampling can be applied in the next reporting period, provided that no major changes occurred – see also </w:t>
      </w:r>
      <w:r w:rsidR="005A1739" w:rsidRPr="008821B7">
        <w:rPr>
          <w:rFonts w:ascii="Trebuchet MS" w:hAnsi="Trebuchet MS"/>
          <w:i/>
          <w:sz w:val="20"/>
          <w:szCs w:val="20"/>
          <w:lang w:val="en-GB"/>
        </w:rPr>
        <w:t>Sampling Methodology</w:t>
      </w:r>
      <w:r w:rsidRPr="008821B7">
        <w:rPr>
          <w:rFonts w:ascii="Trebuchet MS" w:hAnsi="Trebuchet MS"/>
          <w:sz w:val="20"/>
          <w:szCs w:val="20"/>
          <w:lang w:val="en-GB"/>
        </w:rPr>
        <w:t xml:space="preserve">).      </w:t>
      </w:r>
    </w:p>
    <w:p w14:paraId="2FF5E29B" w14:textId="19D439E4" w:rsidR="00087778" w:rsidRDefault="00901504" w:rsidP="00F4680B">
      <w:pPr>
        <w:shd w:val="clear" w:color="auto" w:fill="BFBFBF" w:themeFill="background1" w:themeFillShade="BF"/>
        <w:spacing w:before="60" w:after="60"/>
        <w:rPr>
          <w:rFonts w:ascii="Trebuchet MS" w:hAnsi="Trebuchet MS"/>
          <w:color w:val="FF0000"/>
          <w:sz w:val="20"/>
          <w:szCs w:val="20"/>
          <w:lang w:val="en-GB"/>
        </w:rPr>
      </w:pPr>
      <w:r w:rsidRPr="008821B7">
        <w:rPr>
          <w:rFonts w:ascii="Trebuchet MS" w:hAnsi="Trebuchet MS"/>
          <w:sz w:val="20"/>
          <w:szCs w:val="20"/>
          <w:lang w:val="en-GB"/>
        </w:rPr>
        <w:t xml:space="preserve">Both assessments can be adapted to programme needs. </w:t>
      </w:r>
      <w:r w:rsidR="00087778" w:rsidRPr="008821B7">
        <w:rPr>
          <w:rFonts w:ascii="Trebuchet MS" w:hAnsi="Trebuchet MS"/>
          <w:sz w:val="20"/>
          <w:szCs w:val="20"/>
          <w:lang w:val="en-GB"/>
        </w:rPr>
        <w:br w:type="page"/>
      </w:r>
    </w:p>
    <w:p w14:paraId="7DBD94F3" w14:textId="77777777" w:rsidR="00901504" w:rsidRDefault="00901504" w:rsidP="00901504">
      <w:pPr>
        <w:spacing w:before="60" w:after="60"/>
        <w:rPr>
          <w:rFonts w:ascii="Trebuchet MS" w:hAnsi="Trebuchet MS"/>
          <w:color w:val="FF0000"/>
          <w:sz w:val="20"/>
          <w:szCs w:val="20"/>
          <w:lang w:val="en-GB"/>
        </w:rPr>
      </w:pPr>
    </w:p>
    <w:tbl>
      <w:tblPr>
        <w:tblW w:w="14601" w:type="dxa"/>
        <w:tblInd w:w="108" w:type="dxa"/>
        <w:shd w:val="clear" w:color="auto" w:fill="F2F2F2"/>
        <w:tblLook w:val="01E0" w:firstRow="1" w:lastRow="1" w:firstColumn="1" w:lastColumn="1" w:noHBand="0" w:noVBand="0"/>
      </w:tblPr>
      <w:tblGrid>
        <w:gridCol w:w="14601"/>
      </w:tblGrid>
      <w:tr w:rsidR="009F25AF" w:rsidRPr="00ED0651" w14:paraId="4AC0264E" w14:textId="77777777" w:rsidTr="00C512A5">
        <w:tc>
          <w:tcPr>
            <w:tcW w:w="14601" w:type="dxa"/>
            <w:shd w:val="clear" w:color="auto" w:fill="F2F2F2"/>
          </w:tcPr>
          <w:p w14:paraId="4A40E584" w14:textId="1221A5EC" w:rsidR="009F25AF" w:rsidRPr="00A5756F" w:rsidRDefault="009F25AF" w:rsidP="00C512A5">
            <w:pPr>
              <w:spacing w:before="120" w:after="60"/>
              <w:jc w:val="both"/>
              <w:rPr>
                <w:rFonts w:ascii="Trebuchet MS" w:hAnsi="Trebuchet MS" w:cs="Arial"/>
                <w:b/>
                <w:bCs/>
                <w:sz w:val="20"/>
                <w:szCs w:val="28"/>
                <w:highlight w:val="yellow"/>
                <w:lang w:val="en-GB"/>
              </w:rPr>
            </w:pPr>
            <w:r w:rsidRPr="00A5756F">
              <w:rPr>
                <w:rFonts w:ascii="Trebuchet MS" w:hAnsi="Trebuchet MS" w:cs="Arial"/>
                <w:b/>
                <w:bCs/>
                <w:sz w:val="20"/>
                <w:szCs w:val="28"/>
                <w:highlight w:val="yellow"/>
                <w:lang w:val="en-GB"/>
              </w:rPr>
              <w:t xml:space="preserve">The </w:t>
            </w:r>
            <w:r w:rsidR="00087778" w:rsidRPr="00A5756F">
              <w:rPr>
                <w:rFonts w:ascii="Trebuchet MS" w:hAnsi="Trebuchet MS" w:cs="Arial"/>
                <w:b/>
                <w:bCs/>
                <w:sz w:val="20"/>
                <w:szCs w:val="28"/>
                <w:highlight w:val="yellow"/>
                <w:lang w:val="en-GB"/>
              </w:rPr>
              <w:t>templates are</w:t>
            </w:r>
            <w:r w:rsidRPr="00A5756F">
              <w:rPr>
                <w:rFonts w:ascii="Trebuchet MS" w:hAnsi="Trebuchet MS" w:cs="Arial"/>
                <w:b/>
                <w:bCs/>
                <w:sz w:val="20"/>
                <w:szCs w:val="28"/>
                <w:highlight w:val="yellow"/>
                <w:lang w:val="en-GB"/>
              </w:rPr>
              <w:t xml:space="preserve"> primarily for internal use </w:t>
            </w:r>
            <w:r w:rsidR="00087778" w:rsidRPr="00A5756F">
              <w:rPr>
                <w:rFonts w:ascii="Trebuchet MS" w:hAnsi="Trebuchet MS" w:cs="Arial"/>
                <w:b/>
                <w:bCs/>
                <w:sz w:val="20"/>
                <w:szCs w:val="28"/>
                <w:highlight w:val="yellow"/>
                <w:lang w:val="en-GB"/>
              </w:rPr>
              <w:t xml:space="preserve">of FLC </w:t>
            </w:r>
            <w:r w:rsidRPr="00A5756F">
              <w:rPr>
                <w:rFonts w:ascii="Trebuchet MS" w:hAnsi="Trebuchet MS" w:cs="Arial"/>
                <w:b/>
                <w:bCs/>
                <w:sz w:val="20"/>
                <w:szCs w:val="28"/>
                <w:highlight w:val="yellow"/>
                <w:lang w:val="en-GB"/>
              </w:rPr>
              <w:t xml:space="preserve">and usually NOT provided to the controlled entity. </w:t>
            </w:r>
          </w:p>
          <w:p w14:paraId="5DCE347A" w14:textId="07684E75" w:rsidR="009F25AF" w:rsidRPr="00087778" w:rsidRDefault="009F25AF" w:rsidP="00087778">
            <w:pPr>
              <w:jc w:val="both"/>
              <w:rPr>
                <w:rFonts w:ascii="Trebuchet MS" w:hAnsi="Trebuchet MS"/>
                <w:b/>
                <w:sz w:val="20"/>
                <w:szCs w:val="20"/>
                <w:lang w:val="en-GB"/>
              </w:rPr>
            </w:pPr>
            <w:r w:rsidRPr="00A5756F">
              <w:rPr>
                <w:rFonts w:ascii="Trebuchet MS" w:hAnsi="Trebuchet MS" w:cs="Arial"/>
                <w:b/>
                <w:bCs/>
                <w:sz w:val="20"/>
                <w:szCs w:val="28"/>
                <w:highlight w:val="yellow"/>
                <w:lang w:val="en-GB"/>
              </w:rPr>
              <w:t xml:space="preserve">It can also be made available to </w:t>
            </w:r>
            <w:r w:rsidR="00087778" w:rsidRPr="00A5756F">
              <w:rPr>
                <w:rFonts w:ascii="Trebuchet MS" w:hAnsi="Trebuchet MS" w:cs="Arial"/>
                <w:b/>
                <w:bCs/>
                <w:sz w:val="20"/>
                <w:szCs w:val="28"/>
                <w:highlight w:val="yellow"/>
                <w:lang w:val="en-GB"/>
              </w:rPr>
              <w:t xml:space="preserve">JS/MA or </w:t>
            </w:r>
            <w:r w:rsidRPr="00A5756F">
              <w:rPr>
                <w:rFonts w:ascii="Trebuchet MS" w:hAnsi="Trebuchet MS"/>
                <w:b/>
                <w:sz w:val="20"/>
                <w:szCs w:val="20"/>
                <w:highlight w:val="yellow"/>
                <w:lang w:val="en-GB"/>
              </w:rPr>
              <w:t xml:space="preserve">authorised third parties such as SLC and </w:t>
            </w:r>
            <w:r w:rsidR="00087778" w:rsidRPr="00A5756F">
              <w:rPr>
                <w:rFonts w:ascii="Trebuchet MS" w:hAnsi="Trebuchet MS"/>
                <w:b/>
                <w:sz w:val="20"/>
                <w:szCs w:val="20"/>
                <w:highlight w:val="yellow"/>
                <w:lang w:val="en-GB"/>
              </w:rPr>
              <w:t>Commission auditors.</w:t>
            </w:r>
            <w:r w:rsidR="00087778" w:rsidRPr="00087778">
              <w:rPr>
                <w:rFonts w:ascii="Trebuchet MS" w:hAnsi="Trebuchet MS"/>
                <w:b/>
                <w:sz w:val="20"/>
                <w:szCs w:val="20"/>
                <w:lang w:val="en-GB"/>
              </w:rPr>
              <w:t xml:space="preserve"> </w:t>
            </w:r>
          </w:p>
        </w:tc>
      </w:tr>
    </w:tbl>
    <w:p w14:paraId="488A4D16" w14:textId="77777777" w:rsidR="009F25AF" w:rsidRDefault="009F25AF" w:rsidP="009F25AF">
      <w:pPr>
        <w:rPr>
          <w:rFonts w:ascii="Trebuchet MS" w:hAnsi="Trebuchet MS"/>
          <w:sz w:val="16"/>
          <w:szCs w:val="16"/>
          <w:lang w:val="en-GB"/>
        </w:rPr>
      </w:pPr>
    </w:p>
    <w:tbl>
      <w:tblPr>
        <w:tblW w:w="14601" w:type="dxa"/>
        <w:tblInd w:w="108" w:type="dxa"/>
        <w:shd w:val="clear" w:color="auto" w:fill="C0C0C0"/>
        <w:tblLayout w:type="fixed"/>
        <w:tblLook w:val="01E0" w:firstRow="1" w:lastRow="1" w:firstColumn="1" w:lastColumn="1" w:noHBand="0" w:noVBand="0"/>
      </w:tblPr>
      <w:tblGrid>
        <w:gridCol w:w="5103"/>
        <w:gridCol w:w="2127"/>
        <w:gridCol w:w="2409"/>
        <w:gridCol w:w="4962"/>
      </w:tblGrid>
      <w:tr w:rsidR="009F25AF" w:rsidRPr="00ED0651" w14:paraId="36BCBE8C" w14:textId="77777777" w:rsidTr="00C512A5">
        <w:tc>
          <w:tcPr>
            <w:tcW w:w="14601" w:type="dxa"/>
            <w:gridSpan w:val="4"/>
            <w:shd w:val="clear" w:color="auto" w:fill="F2F2F2"/>
          </w:tcPr>
          <w:p w14:paraId="7CBC1B28" w14:textId="77777777" w:rsidR="009F25AF" w:rsidRPr="00ED0651" w:rsidRDefault="009F25AF" w:rsidP="00C512A5">
            <w:pPr>
              <w:spacing w:before="60" w:after="60"/>
              <w:ind w:right="-135"/>
              <w:jc w:val="both"/>
              <w:rPr>
                <w:rFonts w:ascii="Trebuchet MS" w:hAnsi="Trebuchet MS" w:cs="Arial"/>
                <w:bCs/>
                <w:sz w:val="20"/>
                <w:szCs w:val="28"/>
                <w:lang w:val="en-GB" w:eastAsia="sl-SI"/>
              </w:rPr>
            </w:pPr>
            <w:r w:rsidRPr="00ED0651">
              <w:rPr>
                <w:rFonts w:ascii="Trebuchet MS" w:hAnsi="Trebuchet MS" w:cs="Arial"/>
                <w:bCs/>
                <w:sz w:val="20"/>
                <w:szCs w:val="28"/>
                <w:lang w:val="en-GB" w:eastAsia="sl-SI"/>
              </w:rPr>
              <w:t xml:space="preserve">INHERENT RISK – Risk often associated with this type of project or entity. </w:t>
            </w:r>
          </w:p>
          <w:p w14:paraId="576AC963" w14:textId="77777777" w:rsidR="009F25AF" w:rsidRPr="00ED0651" w:rsidRDefault="009F25AF" w:rsidP="00C512A5">
            <w:pPr>
              <w:spacing w:before="60" w:after="60"/>
              <w:ind w:right="-135"/>
              <w:jc w:val="both"/>
              <w:rPr>
                <w:rFonts w:ascii="Trebuchet MS" w:hAnsi="Trebuchet MS" w:cs="Arial"/>
                <w:bCs/>
                <w:sz w:val="20"/>
                <w:szCs w:val="28"/>
                <w:lang w:val="en-GB" w:eastAsia="sl-SI"/>
              </w:rPr>
            </w:pPr>
            <w:r w:rsidRPr="00ED0651">
              <w:rPr>
                <w:rFonts w:ascii="Trebuchet MS" w:hAnsi="Trebuchet MS" w:cs="Arial"/>
                <w:bCs/>
                <w:sz w:val="20"/>
                <w:szCs w:val="28"/>
                <w:lang w:val="en-GB" w:eastAsia="sl-SI"/>
              </w:rPr>
              <w:t xml:space="preserve">Fill in </w:t>
            </w:r>
            <w:r w:rsidRPr="00ED0651">
              <w:rPr>
                <w:rFonts w:ascii="Trebuchet MS" w:hAnsi="Trebuchet MS" w:cs="Arial"/>
                <w:b/>
                <w:bCs/>
                <w:sz w:val="20"/>
                <w:szCs w:val="28"/>
                <w:lang w:val="en-GB" w:eastAsia="sl-SI"/>
              </w:rPr>
              <w:t>BEFORE</w:t>
            </w:r>
            <w:r w:rsidRPr="00ED0651">
              <w:rPr>
                <w:rFonts w:ascii="Trebuchet MS" w:hAnsi="Trebuchet MS" w:cs="Arial"/>
                <w:bCs/>
                <w:sz w:val="20"/>
                <w:szCs w:val="28"/>
                <w:lang w:val="en-GB" w:eastAsia="sl-SI"/>
              </w:rPr>
              <w:t xml:space="preserve"> control work for the first report starts and update if necessary.</w:t>
            </w:r>
          </w:p>
        </w:tc>
      </w:tr>
      <w:tr w:rsidR="009F25AF" w:rsidRPr="00ED0651" w14:paraId="183AB5E1"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tcBorders>
              <w:bottom w:val="single" w:sz="4" w:space="0" w:color="auto"/>
            </w:tcBorders>
            <w:shd w:val="clear" w:color="auto" w:fill="8D90C6"/>
            <w:vAlign w:val="center"/>
          </w:tcPr>
          <w:p w14:paraId="01E6C3B3" w14:textId="77777777" w:rsidR="009F25AF" w:rsidRPr="00ED0651" w:rsidRDefault="009F25AF" w:rsidP="00C512A5">
            <w:pPr>
              <w:spacing w:after="60"/>
              <w:rPr>
                <w:rFonts w:ascii="Trebuchet MS" w:hAnsi="Trebuchet MS"/>
                <w:b/>
                <w:sz w:val="20"/>
                <w:szCs w:val="20"/>
                <w:lang w:val="en-GB"/>
              </w:rPr>
            </w:pPr>
            <w:r w:rsidRPr="00ED0651">
              <w:rPr>
                <w:rFonts w:ascii="Trebuchet MS" w:hAnsi="Trebuchet MS"/>
                <w:b/>
                <w:sz w:val="20"/>
                <w:szCs w:val="20"/>
                <w:lang w:val="en-GB"/>
              </w:rPr>
              <w:t xml:space="preserve">Inherent Risk </w:t>
            </w:r>
          </w:p>
        </w:tc>
        <w:tc>
          <w:tcPr>
            <w:tcW w:w="2127" w:type="dxa"/>
            <w:shd w:val="clear" w:color="auto" w:fill="8D90C6"/>
            <w:vAlign w:val="center"/>
          </w:tcPr>
          <w:p w14:paraId="0CEE5E68" w14:textId="77777777" w:rsidR="009F25AF" w:rsidRPr="00ED0651" w:rsidRDefault="009F25AF" w:rsidP="00C512A5">
            <w:pPr>
              <w:spacing w:after="60"/>
              <w:jc w:val="center"/>
              <w:rPr>
                <w:rFonts w:ascii="Trebuchet MS" w:hAnsi="Trebuchet MS"/>
                <w:b/>
                <w:sz w:val="20"/>
                <w:szCs w:val="20"/>
                <w:lang w:val="en-GB"/>
              </w:rPr>
            </w:pPr>
            <w:r w:rsidRPr="00ED0651">
              <w:rPr>
                <w:rFonts w:ascii="Trebuchet MS" w:hAnsi="Trebuchet MS"/>
                <w:b/>
                <w:sz w:val="20"/>
                <w:szCs w:val="20"/>
                <w:lang w:val="en-GB"/>
              </w:rPr>
              <w:t>Applicable to the project/entity</w:t>
            </w:r>
          </w:p>
        </w:tc>
        <w:tc>
          <w:tcPr>
            <w:tcW w:w="2409" w:type="dxa"/>
            <w:shd w:val="clear" w:color="auto" w:fill="8D90C6"/>
            <w:vAlign w:val="center"/>
          </w:tcPr>
          <w:p w14:paraId="2FA86DFD" w14:textId="77777777" w:rsidR="009F25AF" w:rsidRPr="00ED0651" w:rsidRDefault="009F25AF" w:rsidP="00C512A5">
            <w:pPr>
              <w:spacing w:after="60"/>
              <w:jc w:val="center"/>
              <w:rPr>
                <w:rFonts w:ascii="Trebuchet MS" w:hAnsi="Trebuchet MS"/>
                <w:b/>
                <w:sz w:val="20"/>
                <w:szCs w:val="20"/>
                <w:lang w:val="en-GB"/>
              </w:rPr>
            </w:pPr>
            <w:r w:rsidRPr="00ED0651">
              <w:rPr>
                <w:rFonts w:ascii="Trebuchet MS" w:hAnsi="Trebuchet MS"/>
                <w:b/>
                <w:sz w:val="20"/>
                <w:szCs w:val="20"/>
                <w:lang w:val="en-GB"/>
              </w:rPr>
              <w:t>NOT applicable to the project/entity</w:t>
            </w:r>
          </w:p>
        </w:tc>
        <w:tc>
          <w:tcPr>
            <w:tcW w:w="4962" w:type="dxa"/>
            <w:shd w:val="clear" w:color="auto" w:fill="8D90C6"/>
            <w:vAlign w:val="center"/>
          </w:tcPr>
          <w:p w14:paraId="6B9041D7" w14:textId="38283039" w:rsidR="009F25AF" w:rsidRPr="00ED0651" w:rsidRDefault="009F25AF" w:rsidP="00901504">
            <w:pPr>
              <w:spacing w:after="60"/>
              <w:jc w:val="center"/>
              <w:rPr>
                <w:rFonts w:ascii="Trebuchet MS" w:hAnsi="Trebuchet MS"/>
                <w:b/>
                <w:sz w:val="20"/>
                <w:szCs w:val="20"/>
                <w:lang w:val="en-GB"/>
              </w:rPr>
            </w:pPr>
            <w:r w:rsidRPr="00ED0651">
              <w:rPr>
                <w:rFonts w:ascii="Trebuchet MS" w:hAnsi="Trebuchet MS"/>
                <w:b/>
                <w:sz w:val="20"/>
                <w:szCs w:val="20"/>
                <w:lang w:val="en-GB"/>
              </w:rPr>
              <w:t>Conclusion (measures/</w:t>
            </w:r>
            <w:r w:rsidR="00901504">
              <w:rPr>
                <w:rFonts w:ascii="Trebuchet MS" w:hAnsi="Trebuchet MS"/>
                <w:b/>
                <w:sz w:val="20"/>
                <w:szCs w:val="20"/>
                <w:lang w:val="en-GB"/>
              </w:rPr>
              <w:t>verifications)</w:t>
            </w:r>
            <w:r w:rsidRPr="00ED0651">
              <w:rPr>
                <w:rFonts w:ascii="Trebuchet MS" w:hAnsi="Trebuchet MS"/>
                <w:b/>
                <w:sz w:val="20"/>
                <w:szCs w:val="20"/>
                <w:lang w:val="en-GB"/>
              </w:rPr>
              <w:t xml:space="preserve"> to address the risks</w:t>
            </w:r>
          </w:p>
        </w:tc>
      </w:tr>
      <w:tr w:rsidR="009F25AF" w:rsidRPr="00ED0651" w14:paraId="6AE93B92"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1F602FAA" w14:textId="77777777" w:rsidR="009F25AF" w:rsidRPr="00ED0651" w:rsidRDefault="009F25AF" w:rsidP="00C512A5">
            <w:pPr>
              <w:spacing w:before="80" w:after="80"/>
              <w:rPr>
                <w:rFonts w:ascii="Trebuchet MS" w:hAnsi="Trebuchet MS"/>
                <w:sz w:val="20"/>
                <w:lang w:val="en-GB" w:eastAsia="de-DE"/>
              </w:rPr>
            </w:pPr>
            <w:r w:rsidRPr="00ED0651">
              <w:rPr>
                <w:rFonts w:ascii="Trebuchet MS" w:hAnsi="Trebuchet MS"/>
                <w:sz w:val="20"/>
                <w:lang w:val="en-GB" w:eastAsia="de-DE"/>
              </w:rPr>
              <w:t xml:space="preserve">Inexperienced beneficiary </w:t>
            </w:r>
          </w:p>
        </w:tc>
        <w:tc>
          <w:tcPr>
            <w:tcW w:w="2127" w:type="dxa"/>
            <w:shd w:val="clear" w:color="auto" w:fill="auto"/>
            <w:vAlign w:val="center"/>
          </w:tcPr>
          <w:p w14:paraId="481145B4" w14:textId="77777777" w:rsidR="009F25AF" w:rsidRPr="00ED0651" w:rsidRDefault="009F25AF"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59ABE607" w14:textId="77777777" w:rsidR="009F25AF" w:rsidRPr="00ED0651" w:rsidRDefault="009F25AF"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32A47A01" w14:textId="77777777" w:rsidR="009F25AF" w:rsidRPr="00ED0651" w:rsidRDefault="009F25AF" w:rsidP="00C512A5">
            <w:pPr>
              <w:jc w:val="center"/>
              <w:rPr>
                <w:rFonts w:ascii="Trebuchet MS" w:hAnsi="Trebuchet MS"/>
                <w:lang w:val="en-GB"/>
              </w:rPr>
            </w:pPr>
          </w:p>
        </w:tc>
      </w:tr>
      <w:tr w:rsidR="009F25AF" w:rsidRPr="00ED0651" w14:paraId="5A705167"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109F4D9F" w14:textId="77777777" w:rsidR="009F25AF" w:rsidRPr="00ED0651" w:rsidRDefault="009F25AF" w:rsidP="00C512A5">
            <w:pPr>
              <w:spacing w:before="80" w:after="80"/>
              <w:rPr>
                <w:rFonts w:ascii="Trebuchet MS" w:hAnsi="Trebuchet MS"/>
                <w:sz w:val="20"/>
                <w:lang w:val="en-GB" w:eastAsia="de-DE"/>
              </w:rPr>
            </w:pPr>
            <w:r w:rsidRPr="00ED0651">
              <w:rPr>
                <w:rFonts w:ascii="Trebuchet MS" w:hAnsi="Trebuchet MS"/>
                <w:sz w:val="20"/>
                <w:lang w:val="en-GB" w:eastAsia="de-DE"/>
              </w:rPr>
              <w:t xml:space="preserve">Beneficiary with poor track record, known issues </w:t>
            </w:r>
          </w:p>
        </w:tc>
        <w:tc>
          <w:tcPr>
            <w:tcW w:w="2127" w:type="dxa"/>
            <w:shd w:val="clear" w:color="auto" w:fill="auto"/>
            <w:vAlign w:val="center"/>
          </w:tcPr>
          <w:p w14:paraId="4A7190B9" w14:textId="77777777" w:rsidR="009F25AF" w:rsidRPr="00ED0651" w:rsidRDefault="009F25AF"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01C9D962" w14:textId="77777777" w:rsidR="009F25AF" w:rsidRPr="00ED0651" w:rsidRDefault="009F25AF"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37A545B7" w14:textId="77777777" w:rsidR="009F25AF" w:rsidRPr="00ED0651" w:rsidRDefault="009F25AF" w:rsidP="00C512A5">
            <w:pPr>
              <w:jc w:val="center"/>
              <w:rPr>
                <w:rFonts w:ascii="Trebuchet MS" w:hAnsi="Trebuchet MS"/>
                <w:lang w:val="en-GB"/>
              </w:rPr>
            </w:pPr>
          </w:p>
        </w:tc>
      </w:tr>
      <w:tr w:rsidR="009F25AF" w:rsidRPr="00ED0651" w14:paraId="5E8CA497"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21EFB7AF" w14:textId="77777777" w:rsidR="009F25AF" w:rsidRPr="00ED0651" w:rsidRDefault="009F25AF" w:rsidP="00C512A5">
            <w:pPr>
              <w:spacing w:before="80" w:after="80"/>
              <w:rPr>
                <w:rFonts w:ascii="Trebuchet MS" w:hAnsi="Trebuchet MS"/>
                <w:sz w:val="20"/>
                <w:lang w:val="en-GB" w:eastAsia="de-DE"/>
              </w:rPr>
            </w:pPr>
            <w:r w:rsidRPr="00ED0651">
              <w:rPr>
                <w:rFonts w:ascii="Trebuchet MS" w:hAnsi="Trebuchet MS"/>
                <w:sz w:val="20"/>
                <w:lang w:val="en-GB" w:eastAsia="de-DE"/>
              </w:rPr>
              <w:t>Beneficiary with other EU or non-EU grants (potential for double funding)</w:t>
            </w:r>
          </w:p>
        </w:tc>
        <w:tc>
          <w:tcPr>
            <w:tcW w:w="2127" w:type="dxa"/>
            <w:shd w:val="clear" w:color="auto" w:fill="auto"/>
            <w:vAlign w:val="center"/>
          </w:tcPr>
          <w:p w14:paraId="04667132" w14:textId="77777777" w:rsidR="009F25AF" w:rsidRPr="00ED0651" w:rsidRDefault="009F25AF"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69113C9D" w14:textId="77777777" w:rsidR="009F25AF" w:rsidRPr="00ED0651" w:rsidRDefault="009F25AF"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554F4EBE" w14:textId="77777777" w:rsidR="009F25AF" w:rsidRPr="00ED0651" w:rsidRDefault="009F25AF" w:rsidP="00C512A5">
            <w:pPr>
              <w:jc w:val="center"/>
              <w:rPr>
                <w:rFonts w:ascii="Trebuchet MS" w:hAnsi="Trebuchet MS"/>
                <w:lang w:val="en-GB"/>
              </w:rPr>
            </w:pPr>
          </w:p>
        </w:tc>
      </w:tr>
      <w:tr w:rsidR="00D82DDE" w:rsidRPr="00ED0651" w14:paraId="2F26EBEB" w14:textId="77777777" w:rsidTr="00882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6D6B7151" w14:textId="03355D68" w:rsidR="00D82DDE" w:rsidRPr="00ED0651" w:rsidRDefault="00D82DDE" w:rsidP="00C512A5">
            <w:pPr>
              <w:spacing w:before="80" w:after="80"/>
              <w:rPr>
                <w:rFonts w:ascii="Trebuchet MS" w:hAnsi="Trebuchet MS"/>
                <w:sz w:val="20"/>
                <w:lang w:val="en-GB" w:eastAsia="de-DE"/>
              </w:rPr>
            </w:pPr>
            <w:r>
              <w:rPr>
                <w:rFonts w:ascii="Trebuchet MS" w:hAnsi="Trebuchet MS"/>
                <w:sz w:val="20"/>
                <w:lang w:val="en-GB" w:eastAsia="de-DE"/>
              </w:rPr>
              <w:t>Large partnership</w:t>
            </w:r>
          </w:p>
        </w:tc>
        <w:tc>
          <w:tcPr>
            <w:tcW w:w="2127" w:type="dxa"/>
            <w:shd w:val="clear" w:color="auto" w:fill="FFFFFF" w:themeFill="background1"/>
            <w:vAlign w:val="center"/>
          </w:tcPr>
          <w:p w14:paraId="4DE71D25" w14:textId="080F407D" w:rsidR="00D82DDE" w:rsidRPr="00ED0651" w:rsidRDefault="00D82DDE" w:rsidP="00C512A5">
            <w:pPr>
              <w:jc w:val="center"/>
              <w:rPr>
                <w:rFonts w:ascii="Trebuchet MS" w:hAnsi="Trebuchet MS" w:cs="Arial"/>
                <w:sz w:val="22"/>
                <w:szCs w:val="22"/>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FFFFFF" w:themeFill="background1"/>
            <w:vAlign w:val="center"/>
          </w:tcPr>
          <w:p w14:paraId="365603DC" w14:textId="4C29A5E5" w:rsidR="00D82DDE" w:rsidRPr="00ED0651" w:rsidRDefault="00D82DDE" w:rsidP="00C512A5">
            <w:pPr>
              <w:jc w:val="center"/>
              <w:rPr>
                <w:rFonts w:ascii="Trebuchet MS" w:hAnsi="Trebuchet MS" w:cs="Arial"/>
                <w:sz w:val="22"/>
                <w:szCs w:val="22"/>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FFFFFF" w:themeFill="background1"/>
            <w:vAlign w:val="center"/>
          </w:tcPr>
          <w:p w14:paraId="1CDEEC96" w14:textId="77777777" w:rsidR="00D82DDE" w:rsidRPr="00ED0651" w:rsidRDefault="00D82DDE" w:rsidP="00C512A5">
            <w:pPr>
              <w:jc w:val="center"/>
              <w:rPr>
                <w:rFonts w:ascii="Trebuchet MS" w:hAnsi="Trebuchet MS"/>
                <w:lang w:val="en-GB"/>
              </w:rPr>
            </w:pPr>
          </w:p>
        </w:tc>
      </w:tr>
      <w:tr w:rsidR="00D82DDE" w:rsidRPr="00ED0651" w14:paraId="7607AFEF"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54931F54" w14:textId="77777777" w:rsidR="00D82DDE" w:rsidRPr="00ED0651" w:rsidRDefault="00D82DDE" w:rsidP="00C512A5">
            <w:pPr>
              <w:spacing w:before="80" w:after="80"/>
              <w:rPr>
                <w:rFonts w:ascii="Trebuchet MS" w:hAnsi="Trebuchet MS"/>
                <w:sz w:val="20"/>
                <w:lang w:val="en-GB" w:eastAsia="de-DE"/>
              </w:rPr>
            </w:pPr>
            <w:r w:rsidRPr="00ED0651">
              <w:rPr>
                <w:rFonts w:ascii="Trebuchet MS" w:hAnsi="Trebuchet MS"/>
                <w:sz w:val="20"/>
                <w:lang w:val="en-GB" w:eastAsia="de-DE"/>
              </w:rPr>
              <w:t>Large partner budget</w:t>
            </w:r>
          </w:p>
        </w:tc>
        <w:tc>
          <w:tcPr>
            <w:tcW w:w="2127" w:type="dxa"/>
            <w:shd w:val="clear" w:color="auto" w:fill="auto"/>
            <w:vAlign w:val="center"/>
          </w:tcPr>
          <w:p w14:paraId="2B25B7A1"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6102545B"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316B2218" w14:textId="77777777" w:rsidR="00D82DDE" w:rsidRPr="00ED0651" w:rsidRDefault="00D82DDE" w:rsidP="00C512A5">
            <w:pPr>
              <w:jc w:val="center"/>
              <w:rPr>
                <w:rFonts w:ascii="Trebuchet MS" w:hAnsi="Trebuchet MS"/>
                <w:lang w:val="en-GB"/>
              </w:rPr>
            </w:pPr>
          </w:p>
        </w:tc>
      </w:tr>
      <w:tr w:rsidR="00D82DDE" w:rsidRPr="00ED0651" w14:paraId="2C678322"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1FF54D07" w14:textId="77777777" w:rsidR="00D82DDE" w:rsidRPr="00ED0651" w:rsidRDefault="00D82DDE" w:rsidP="00C512A5">
            <w:pPr>
              <w:spacing w:before="80" w:after="80"/>
              <w:rPr>
                <w:rFonts w:ascii="Trebuchet MS" w:hAnsi="Trebuchet MS"/>
                <w:sz w:val="20"/>
                <w:lang w:val="en-GB" w:eastAsia="de-DE"/>
              </w:rPr>
            </w:pPr>
            <w:r w:rsidRPr="00ED0651">
              <w:rPr>
                <w:rFonts w:ascii="Trebuchet MS" w:hAnsi="Trebuchet MS"/>
                <w:sz w:val="20"/>
                <w:lang w:val="en-GB" w:eastAsia="de-DE"/>
              </w:rPr>
              <w:t>Private partner</w:t>
            </w:r>
          </w:p>
        </w:tc>
        <w:tc>
          <w:tcPr>
            <w:tcW w:w="2127" w:type="dxa"/>
            <w:shd w:val="clear" w:color="auto" w:fill="auto"/>
            <w:vAlign w:val="center"/>
          </w:tcPr>
          <w:p w14:paraId="2098B9EC"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1E2144F0"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7D5E797C" w14:textId="77777777" w:rsidR="00D82DDE" w:rsidRPr="00ED0651" w:rsidRDefault="00D82DDE" w:rsidP="00C512A5">
            <w:pPr>
              <w:jc w:val="center"/>
              <w:rPr>
                <w:rFonts w:ascii="Trebuchet MS" w:hAnsi="Trebuchet MS"/>
                <w:lang w:val="en-GB"/>
              </w:rPr>
            </w:pPr>
          </w:p>
        </w:tc>
      </w:tr>
      <w:tr w:rsidR="00D82DDE" w:rsidRPr="00ED0651" w14:paraId="5C4B1E24"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1A1E7736" w14:textId="4796A589" w:rsidR="00D82DDE" w:rsidRPr="00ED0651" w:rsidRDefault="00D82DDE" w:rsidP="00087778">
            <w:pPr>
              <w:spacing w:before="80" w:after="80"/>
              <w:rPr>
                <w:rFonts w:ascii="Trebuchet MS" w:hAnsi="Trebuchet MS"/>
                <w:sz w:val="20"/>
                <w:lang w:val="en-GB" w:eastAsia="de-DE"/>
              </w:rPr>
            </w:pPr>
            <w:r w:rsidRPr="00ED0651">
              <w:rPr>
                <w:rFonts w:ascii="Trebuchet MS" w:hAnsi="Trebuchet MS"/>
                <w:sz w:val="20"/>
                <w:lang w:val="en-GB" w:eastAsia="de-DE"/>
              </w:rPr>
              <w:t>Person responsible for preparation of the financial report has changed recently</w:t>
            </w:r>
          </w:p>
        </w:tc>
        <w:tc>
          <w:tcPr>
            <w:tcW w:w="2127" w:type="dxa"/>
            <w:shd w:val="clear" w:color="auto" w:fill="auto"/>
            <w:vAlign w:val="center"/>
          </w:tcPr>
          <w:p w14:paraId="1DD00D83"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51A32B96"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7BCC00E4" w14:textId="77777777" w:rsidR="00D82DDE" w:rsidRPr="00ED0651" w:rsidRDefault="00D82DDE" w:rsidP="00C512A5">
            <w:pPr>
              <w:jc w:val="center"/>
              <w:rPr>
                <w:rFonts w:ascii="Trebuchet MS" w:hAnsi="Trebuchet MS"/>
                <w:lang w:val="en-GB"/>
              </w:rPr>
            </w:pPr>
          </w:p>
        </w:tc>
      </w:tr>
      <w:tr w:rsidR="00D82DDE" w:rsidRPr="00ED0651" w14:paraId="2BEB6ED2"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48D039E6" w14:textId="77777777" w:rsidR="00D82DDE" w:rsidRPr="00ED0651" w:rsidRDefault="00D82DDE" w:rsidP="00C512A5">
            <w:pPr>
              <w:spacing w:before="80" w:after="80"/>
              <w:rPr>
                <w:rFonts w:ascii="Trebuchet MS" w:hAnsi="Trebuchet MS"/>
                <w:sz w:val="20"/>
                <w:lang w:val="en-GB" w:eastAsia="de-DE"/>
              </w:rPr>
            </w:pPr>
            <w:r w:rsidRPr="00ED0651">
              <w:rPr>
                <w:rFonts w:ascii="Trebuchet MS" w:hAnsi="Trebuchet MS"/>
                <w:sz w:val="20"/>
                <w:lang w:val="en-GB" w:eastAsia="de-DE"/>
              </w:rPr>
              <w:t xml:space="preserve">Large public procurements </w:t>
            </w:r>
          </w:p>
        </w:tc>
        <w:tc>
          <w:tcPr>
            <w:tcW w:w="2127" w:type="dxa"/>
            <w:shd w:val="clear" w:color="auto" w:fill="auto"/>
            <w:vAlign w:val="center"/>
          </w:tcPr>
          <w:p w14:paraId="7749F8D4"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6BDBD9C5"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6C3E450A" w14:textId="77777777" w:rsidR="00D82DDE" w:rsidRPr="00ED0651" w:rsidRDefault="00D82DDE" w:rsidP="00C512A5">
            <w:pPr>
              <w:jc w:val="center"/>
              <w:rPr>
                <w:rFonts w:ascii="Trebuchet MS" w:hAnsi="Trebuchet MS"/>
                <w:lang w:val="en-GB"/>
              </w:rPr>
            </w:pPr>
          </w:p>
        </w:tc>
      </w:tr>
      <w:tr w:rsidR="00D82DDE" w:rsidRPr="00ED0651" w14:paraId="70FADB43"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02072E35" w14:textId="77777777" w:rsidR="00D82DDE" w:rsidRPr="00ED0651" w:rsidRDefault="00D82DDE" w:rsidP="00C512A5">
            <w:pPr>
              <w:spacing w:before="80" w:after="80"/>
              <w:rPr>
                <w:rFonts w:ascii="Trebuchet MS" w:hAnsi="Trebuchet MS"/>
                <w:sz w:val="20"/>
                <w:lang w:val="en-GB" w:eastAsia="de-DE"/>
              </w:rPr>
            </w:pPr>
            <w:r w:rsidRPr="00ED0651">
              <w:rPr>
                <w:rFonts w:ascii="Trebuchet MS" w:hAnsi="Trebuchet MS"/>
                <w:sz w:val="20"/>
                <w:lang w:val="en-GB" w:eastAsia="de-DE"/>
              </w:rPr>
              <w:t xml:space="preserve">Project with few tangible outputs (based on networking, meeting, etc.) </w:t>
            </w:r>
          </w:p>
        </w:tc>
        <w:tc>
          <w:tcPr>
            <w:tcW w:w="2127" w:type="dxa"/>
            <w:shd w:val="clear" w:color="auto" w:fill="auto"/>
            <w:vAlign w:val="center"/>
          </w:tcPr>
          <w:p w14:paraId="68845868"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38406D9E"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1ABA1D18" w14:textId="77777777" w:rsidR="00D82DDE" w:rsidRPr="00ED0651" w:rsidRDefault="00D82DDE" w:rsidP="00C512A5">
            <w:pPr>
              <w:jc w:val="center"/>
              <w:rPr>
                <w:rFonts w:ascii="Trebuchet MS" w:hAnsi="Trebuchet MS"/>
                <w:lang w:val="en-GB"/>
              </w:rPr>
            </w:pPr>
          </w:p>
        </w:tc>
      </w:tr>
      <w:tr w:rsidR="00D82DDE" w:rsidRPr="00ED0651" w14:paraId="2FC787EB"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5103" w:type="dxa"/>
            <w:shd w:val="clear" w:color="auto" w:fill="D9DBEE"/>
          </w:tcPr>
          <w:p w14:paraId="62BA865C" w14:textId="77777777" w:rsidR="00D82DDE" w:rsidRPr="00ED0651" w:rsidRDefault="00D82DDE" w:rsidP="00C512A5">
            <w:pPr>
              <w:spacing w:before="80" w:after="80"/>
              <w:rPr>
                <w:rFonts w:ascii="Trebuchet MS" w:hAnsi="Trebuchet MS"/>
                <w:sz w:val="20"/>
                <w:lang w:val="en-GB" w:eastAsia="de-DE"/>
              </w:rPr>
            </w:pPr>
            <w:r w:rsidRPr="00ED0651">
              <w:rPr>
                <w:rFonts w:ascii="Trebuchet MS" w:hAnsi="Trebuchet MS"/>
                <w:sz w:val="20"/>
                <w:lang w:val="en-GB" w:eastAsia="de-DE"/>
              </w:rPr>
              <w:t>Others (add as necessary)</w:t>
            </w:r>
          </w:p>
        </w:tc>
        <w:tc>
          <w:tcPr>
            <w:tcW w:w="2127" w:type="dxa"/>
            <w:shd w:val="clear" w:color="auto" w:fill="auto"/>
            <w:vAlign w:val="center"/>
          </w:tcPr>
          <w:p w14:paraId="28C15C5A"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2409" w:type="dxa"/>
            <w:shd w:val="clear" w:color="auto" w:fill="auto"/>
            <w:vAlign w:val="center"/>
          </w:tcPr>
          <w:p w14:paraId="1D00B5E0" w14:textId="77777777" w:rsidR="00D82DDE" w:rsidRPr="00ED0651" w:rsidRDefault="00D82DDE" w:rsidP="00C512A5">
            <w:pPr>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4962" w:type="dxa"/>
            <w:shd w:val="clear" w:color="auto" w:fill="auto"/>
            <w:vAlign w:val="center"/>
          </w:tcPr>
          <w:p w14:paraId="3F4E094C" w14:textId="77777777" w:rsidR="00D82DDE" w:rsidRPr="00ED0651" w:rsidRDefault="00D82DDE" w:rsidP="00C512A5">
            <w:pPr>
              <w:jc w:val="center"/>
              <w:rPr>
                <w:rFonts w:ascii="Trebuchet MS" w:hAnsi="Trebuchet MS"/>
                <w:lang w:val="en-GB"/>
              </w:rPr>
            </w:pPr>
          </w:p>
        </w:tc>
      </w:tr>
    </w:tbl>
    <w:p w14:paraId="14B61E03" w14:textId="77777777" w:rsidR="009F25AF" w:rsidRPr="00ED0651" w:rsidRDefault="009F25AF" w:rsidP="009F25AF">
      <w:pPr>
        <w:rPr>
          <w:rFonts w:ascii="Trebuchet MS" w:hAnsi="Trebuchet MS"/>
          <w:sz w:val="2"/>
          <w:szCs w:val="2"/>
          <w:lang w:val="en-GB"/>
        </w:rPr>
      </w:pPr>
    </w:p>
    <w:p w14:paraId="29AA1230" w14:textId="77777777" w:rsidR="009F25AF" w:rsidRPr="00ED0651" w:rsidRDefault="009F25AF" w:rsidP="009F25AF">
      <w:pPr>
        <w:rPr>
          <w:rFonts w:ascii="Trebuchet MS" w:hAnsi="Trebuchet MS"/>
          <w:lang w:val="en-GB"/>
        </w:rPr>
        <w:sectPr w:rsidR="009F25AF" w:rsidRPr="00ED0651" w:rsidSect="00171FAA">
          <w:footerReference w:type="default" r:id="rId9"/>
          <w:headerReference w:type="first" r:id="rId10"/>
          <w:footerReference w:type="first" r:id="rId11"/>
          <w:pgSz w:w="16838" w:h="11906" w:orient="landscape" w:code="9"/>
          <w:pgMar w:top="1121" w:right="1134" w:bottom="1134" w:left="1134" w:header="567" w:footer="651" w:gutter="0"/>
          <w:cols w:space="708"/>
          <w:titlePg/>
          <w:docGrid w:linePitch="360"/>
        </w:sectPr>
      </w:pPr>
    </w:p>
    <w:tbl>
      <w:tblPr>
        <w:tblW w:w="14601" w:type="dxa"/>
        <w:tblInd w:w="108" w:type="dxa"/>
        <w:shd w:val="clear" w:color="auto" w:fill="C0C0C0"/>
        <w:tblLayout w:type="fixed"/>
        <w:tblLook w:val="01E0" w:firstRow="1" w:lastRow="1" w:firstColumn="1" w:lastColumn="1" w:noHBand="0" w:noVBand="0"/>
      </w:tblPr>
      <w:tblGrid>
        <w:gridCol w:w="1985"/>
        <w:gridCol w:w="850"/>
        <w:gridCol w:w="993"/>
        <w:gridCol w:w="708"/>
        <w:gridCol w:w="1418"/>
        <w:gridCol w:w="850"/>
        <w:gridCol w:w="993"/>
        <w:gridCol w:w="992"/>
        <w:gridCol w:w="5812"/>
      </w:tblGrid>
      <w:tr w:rsidR="009F25AF" w:rsidRPr="00ED0651" w14:paraId="1F2F41A4" w14:textId="77777777" w:rsidTr="00BB650A">
        <w:tc>
          <w:tcPr>
            <w:tcW w:w="14601" w:type="dxa"/>
            <w:gridSpan w:val="9"/>
            <w:shd w:val="clear" w:color="auto" w:fill="F2F2F2" w:themeFill="background1" w:themeFillShade="F2"/>
          </w:tcPr>
          <w:p w14:paraId="7C887EA5" w14:textId="77777777" w:rsidR="009F25AF" w:rsidRPr="00ED0651" w:rsidRDefault="009F25AF" w:rsidP="00C512A5">
            <w:pPr>
              <w:spacing w:before="60" w:after="60"/>
              <w:ind w:right="-135"/>
              <w:jc w:val="both"/>
              <w:rPr>
                <w:rFonts w:ascii="Trebuchet MS" w:hAnsi="Trebuchet MS" w:cs="Arial"/>
                <w:bCs/>
                <w:sz w:val="20"/>
                <w:szCs w:val="28"/>
                <w:lang w:val="en-GB" w:eastAsia="sl-SI"/>
              </w:rPr>
            </w:pPr>
            <w:r w:rsidRPr="00ED0651">
              <w:rPr>
                <w:rFonts w:ascii="Trebuchet MS" w:hAnsi="Trebuchet MS" w:cs="Arial"/>
                <w:bCs/>
                <w:sz w:val="20"/>
                <w:szCs w:val="28"/>
                <w:lang w:val="en-GB" w:eastAsia="sl-SI"/>
              </w:rPr>
              <w:lastRenderedPageBreak/>
              <w:t xml:space="preserve">CONTROL RISK – Risk associated with the quality of internal controls of the beneficiary. </w:t>
            </w:r>
          </w:p>
          <w:p w14:paraId="1B6F7D86" w14:textId="77777777" w:rsidR="009F25AF" w:rsidRPr="00ED0651" w:rsidRDefault="009F25AF" w:rsidP="00C512A5">
            <w:pPr>
              <w:spacing w:before="60" w:after="60"/>
              <w:ind w:right="-135"/>
              <w:jc w:val="both"/>
              <w:rPr>
                <w:rFonts w:ascii="Trebuchet MS" w:hAnsi="Trebuchet MS" w:cs="Arial"/>
                <w:bCs/>
                <w:sz w:val="20"/>
                <w:szCs w:val="28"/>
                <w:lang w:val="en-GB" w:eastAsia="sl-SI"/>
              </w:rPr>
            </w:pPr>
            <w:r w:rsidRPr="00ED0651">
              <w:rPr>
                <w:rFonts w:ascii="Trebuchet MS" w:hAnsi="Trebuchet MS" w:cs="Arial"/>
                <w:bCs/>
                <w:sz w:val="20"/>
                <w:szCs w:val="28"/>
                <w:lang w:val="en-GB" w:eastAsia="sl-SI"/>
              </w:rPr>
              <w:t xml:space="preserve">Fill in </w:t>
            </w:r>
            <w:r w:rsidRPr="00ED0651">
              <w:rPr>
                <w:rFonts w:ascii="Trebuchet MS" w:hAnsi="Trebuchet MS" w:cs="Arial"/>
                <w:b/>
                <w:bCs/>
                <w:sz w:val="20"/>
                <w:szCs w:val="28"/>
                <w:lang w:val="en-GB" w:eastAsia="sl-SI"/>
              </w:rPr>
              <w:t>AFTER</w:t>
            </w:r>
            <w:r w:rsidRPr="00ED0651">
              <w:rPr>
                <w:rFonts w:ascii="Trebuchet MS" w:hAnsi="Trebuchet MS" w:cs="Arial"/>
                <w:bCs/>
                <w:sz w:val="20"/>
                <w:szCs w:val="28"/>
                <w:lang w:val="en-GB" w:eastAsia="sl-SI"/>
              </w:rPr>
              <w:t xml:space="preserve"> control work for the first report is completed and update after each subsequent control. It serves as a basis for controlling the subsequent report</w:t>
            </w:r>
            <w:proofErr w:type="gramStart"/>
            <w:r w:rsidRPr="00ED0651">
              <w:rPr>
                <w:rFonts w:ascii="Trebuchet MS" w:hAnsi="Trebuchet MS" w:cs="Arial"/>
                <w:bCs/>
                <w:sz w:val="20"/>
                <w:szCs w:val="28"/>
                <w:lang w:val="en-GB" w:eastAsia="sl-SI"/>
              </w:rPr>
              <w:t>..</w:t>
            </w:r>
            <w:proofErr w:type="gramEnd"/>
            <w:r w:rsidRPr="00ED0651">
              <w:rPr>
                <w:rFonts w:ascii="Trebuchet MS" w:hAnsi="Trebuchet MS" w:cs="Arial"/>
                <w:bCs/>
                <w:sz w:val="20"/>
                <w:szCs w:val="28"/>
                <w:lang w:val="en-GB" w:eastAsia="sl-SI"/>
              </w:rPr>
              <w:t xml:space="preserve"> </w:t>
            </w:r>
          </w:p>
        </w:tc>
      </w:tr>
      <w:tr w:rsidR="009F25AF" w:rsidRPr="00ED0651" w14:paraId="4248C756"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vMerge w:val="restart"/>
            <w:shd w:val="clear" w:color="auto" w:fill="8D90C6"/>
            <w:vAlign w:val="center"/>
          </w:tcPr>
          <w:p w14:paraId="72F600C0" w14:textId="77777777" w:rsidR="009F25AF" w:rsidRPr="00ED0651" w:rsidRDefault="009F25AF" w:rsidP="00C512A5">
            <w:pPr>
              <w:spacing w:before="40" w:after="40"/>
              <w:rPr>
                <w:rFonts w:ascii="Trebuchet MS" w:hAnsi="Trebuchet MS"/>
                <w:b/>
                <w:sz w:val="20"/>
                <w:szCs w:val="20"/>
                <w:lang w:val="en-GB"/>
              </w:rPr>
            </w:pPr>
            <w:r w:rsidRPr="00ED0651">
              <w:rPr>
                <w:rFonts w:ascii="Trebuchet MS" w:hAnsi="Trebuchet MS"/>
                <w:b/>
                <w:sz w:val="20"/>
                <w:szCs w:val="20"/>
                <w:lang w:val="en-GB"/>
              </w:rPr>
              <w:t>Quality of costs declared – see checklist</w:t>
            </w:r>
          </w:p>
        </w:tc>
        <w:tc>
          <w:tcPr>
            <w:tcW w:w="2551" w:type="dxa"/>
            <w:gridSpan w:val="3"/>
            <w:shd w:val="clear" w:color="auto" w:fill="8D90C6"/>
            <w:vAlign w:val="center"/>
          </w:tcPr>
          <w:p w14:paraId="6287AD39"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Quality of the expenditures when originally reported</w:t>
            </w:r>
          </w:p>
        </w:tc>
        <w:tc>
          <w:tcPr>
            <w:tcW w:w="1418" w:type="dxa"/>
            <w:vMerge w:val="restart"/>
            <w:shd w:val="clear" w:color="auto" w:fill="8D90C6"/>
            <w:vAlign w:val="center"/>
          </w:tcPr>
          <w:p w14:paraId="0A0D5E12"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Number of clarification rounds with the beneficiary</w:t>
            </w:r>
          </w:p>
        </w:tc>
        <w:tc>
          <w:tcPr>
            <w:tcW w:w="2835" w:type="dxa"/>
            <w:gridSpan w:val="3"/>
            <w:shd w:val="clear" w:color="auto" w:fill="8D90C6"/>
            <w:vAlign w:val="center"/>
          </w:tcPr>
          <w:p w14:paraId="3DDE7D67"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 xml:space="preserve">Quality of the expenditures after clarifications </w:t>
            </w:r>
          </w:p>
        </w:tc>
        <w:tc>
          <w:tcPr>
            <w:tcW w:w="5812" w:type="dxa"/>
            <w:vMerge w:val="restart"/>
            <w:shd w:val="clear" w:color="auto" w:fill="8D90C6"/>
            <w:vAlign w:val="center"/>
          </w:tcPr>
          <w:p w14:paraId="1B7DC059" w14:textId="77777777" w:rsidR="009F25AF" w:rsidRPr="00ED0651" w:rsidRDefault="009F25AF" w:rsidP="00C512A5">
            <w:pPr>
              <w:spacing w:before="40" w:after="40"/>
              <w:ind w:right="34"/>
              <w:jc w:val="center"/>
              <w:rPr>
                <w:rFonts w:ascii="Trebuchet MS" w:hAnsi="Trebuchet MS"/>
                <w:b/>
                <w:sz w:val="20"/>
                <w:szCs w:val="20"/>
                <w:lang w:val="en-GB"/>
              </w:rPr>
            </w:pPr>
            <w:r w:rsidRPr="00ED0651">
              <w:rPr>
                <w:rFonts w:ascii="Trebuchet MS" w:hAnsi="Trebuchet MS"/>
                <w:b/>
                <w:sz w:val="20"/>
                <w:szCs w:val="20"/>
                <w:lang w:val="en-GB"/>
              </w:rPr>
              <w:t xml:space="preserve">Note (e.g., types of errors, any observations, unusual cost items, unsolved issues, etc.). Also include here any conclusions on the possibility of sampling (for the next control report)  </w:t>
            </w:r>
          </w:p>
        </w:tc>
      </w:tr>
      <w:tr w:rsidR="009F25AF" w:rsidRPr="00ED0651" w14:paraId="62571489"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65"/>
        </w:trPr>
        <w:tc>
          <w:tcPr>
            <w:tcW w:w="1985" w:type="dxa"/>
            <w:vMerge/>
            <w:tcBorders>
              <w:bottom w:val="single" w:sz="4" w:space="0" w:color="auto"/>
            </w:tcBorders>
            <w:shd w:val="clear" w:color="auto" w:fill="8D90C6"/>
            <w:vAlign w:val="center"/>
          </w:tcPr>
          <w:p w14:paraId="7D140023" w14:textId="77777777" w:rsidR="009F25AF" w:rsidRPr="00ED0651" w:rsidRDefault="009F25AF" w:rsidP="00C512A5">
            <w:pPr>
              <w:spacing w:before="40" w:after="40"/>
              <w:rPr>
                <w:rFonts w:ascii="Trebuchet MS" w:hAnsi="Trebuchet MS"/>
                <w:b/>
                <w:sz w:val="20"/>
                <w:szCs w:val="20"/>
                <w:lang w:val="en-GB"/>
              </w:rPr>
            </w:pPr>
          </w:p>
        </w:tc>
        <w:tc>
          <w:tcPr>
            <w:tcW w:w="850" w:type="dxa"/>
            <w:shd w:val="clear" w:color="auto" w:fill="8D90C6"/>
            <w:vAlign w:val="center"/>
          </w:tcPr>
          <w:p w14:paraId="03562D03"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Good</w:t>
            </w:r>
            <w:r w:rsidRPr="00ED0651">
              <w:rPr>
                <w:rStyle w:val="FootnoteReference"/>
                <w:rFonts w:ascii="Trebuchet MS" w:hAnsi="Trebuchet MS"/>
                <w:b/>
                <w:sz w:val="20"/>
                <w:szCs w:val="20"/>
                <w:lang w:val="en-GB"/>
              </w:rPr>
              <w:footnoteReference w:id="1"/>
            </w:r>
          </w:p>
        </w:tc>
        <w:tc>
          <w:tcPr>
            <w:tcW w:w="993" w:type="dxa"/>
            <w:shd w:val="clear" w:color="auto" w:fill="8D90C6"/>
            <w:vAlign w:val="center"/>
          </w:tcPr>
          <w:p w14:paraId="1C098DF4"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Medium</w:t>
            </w:r>
            <w:r w:rsidRPr="00ED0651">
              <w:rPr>
                <w:rStyle w:val="FootnoteReference"/>
                <w:rFonts w:ascii="Trebuchet MS" w:hAnsi="Trebuchet MS"/>
                <w:b/>
                <w:sz w:val="20"/>
                <w:szCs w:val="20"/>
                <w:lang w:val="en-GB"/>
              </w:rPr>
              <w:footnoteReference w:id="2"/>
            </w:r>
          </w:p>
        </w:tc>
        <w:tc>
          <w:tcPr>
            <w:tcW w:w="708" w:type="dxa"/>
            <w:shd w:val="clear" w:color="auto" w:fill="8D90C6"/>
            <w:vAlign w:val="center"/>
          </w:tcPr>
          <w:p w14:paraId="35979685"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Bad</w:t>
            </w:r>
            <w:r w:rsidRPr="00ED0651">
              <w:rPr>
                <w:rStyle w:val="FootnoteReference"/>
                <w:rFonts w:ascii="Trebuchet MS" w:hAnsi="Trebuchet MS"/>
                <w:b/>
                <w:sz w:val="20"/>
                <w:szCs w:val="20"/>
                <w:lang w:val="en-GB"/>
              </w:rPr>
              <w:footnoteReference w:id="3"/>
            </w:r>
          </w:p>
        </w:tc>
        <w:tc>
          <w:tcPr>
            <w:tcW w:w="1418" w:type="dxa"/>
            <w:vMerge/>
            <w:shd w:val="clear" w:color="auto" w:fill="8D90C6"/>
            <w:vAlign w:val="center"/>
          </w:tcPr>
          <w:p w14:paraId="13762DBB" w14:textId="77777777" w:rsidR="009F25AF" w:rsidRPr="00ED0651" w:rsidRDefault="009F25AF" w:rsidP="00C512A5">
            <w:pPr>
              <w:spacing w:before="40" w:after="40"/>
              <w:jc w:val="center"/>
              <w:rPr>
                <w:rFonts w:ascii="Trebuchet MS" w:hAnsi="Trebuchet MS"/>
                <w:b/>
                <w:sz w:val="20"/>
                <w:szCs w:val="20"/>
                <w:lang w:val="en-GB"/>
              </w:rPr>
            </w:pPr>
          </w:p>
        </w:tc>
        <w:tc>
          <w:tcPr>
            <w:tcW w:w="850" w:type="dxa"/>
            <w:shd w:val="clear" w:color="auto" w:fill="8D90C6"/>
            <w:vAlign w:val="center"/>
          </w:tcPr>
          <w:p w14:paraId="37C5285D"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Good</w:t>
            </w:r>
          </w:p>
        </w:tc>
        <w:tc>
          <w:tcPr>
            <w:tcW w:w="993" w:type="dxa"/>
            <w:shd w:val="clear" w:color="auto" w:fill="8D90C6"/>
            <w:vAlign w:val="center"/>
          </w:tcPr>
          <w:p w14:paraId="21AA51ED"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Medium</w:t>
            </w:r>
          </w:p>
        </w:tc>
        <w:tc>
          <w:tcPr>
            <w:tcW w:w="992" w:type="dxa"/>
            <w:shd w:val="clear" w:color="auto" w:fill="8D90C6"/>
            <w:vAlign w:val="center"/>
          </w:tcPr>
          <w:p w14:paraId="1E15B848" w14:textId="77777777" w:rsidR="009F25AF" w:rsidRPr="00ED0651" w:rsidRDefault="009F25AF" w:rsidP="00C512A5">
            <w:pPr>
              <w:spacing w:before="40" w:after="40"/>
              <w:jc w:val="center"/>
              <w:rPr>
                <w:rFonts w:ascii="Trebuchet MS" w:hAnsi="Trebuchet MS"/>
                <w:b/>
                <w:sz w:val="20"/>
                <w:szCs w:val="20"/>
                <w:lang w:val="en-GB"/>
              </w:rPr>
            </w:pPr>
            <w:r w:rsidRPr="00ED0651">
              <w:rPr>
                <w:rFonts w:ascii="Trebuchet MS" w:hAnsi="Trebuchet MS"/>
                <w:b/>
                <w:sz w:val="20"/>
                <w:szCs w:val="20"/>
                <w:lang w:val="en-GB"/>
              </w:rPr>
              <w:t>Bad</w:t>
            </w:r>
          </w:p>
        </w:tc>
        <w:tc>
          <w:tcPr>
            <w:tcW w:w="5812" w:type="dxa"/>
            <w:vMerge/>
            <w:shd w:val="clear" w:color="auto" w:fill="8D90C6"/>
          </w:tcPr>
          <w:p w14:paraId="424B6B10" w14:textId="77777777" w:rsidR="009F25AF" w:rsidRPr="00ED0651" w:rsidRDefault="009F25AF" w:rsidP="00C512A5">
            <w:pPr>
              <w:spacing w:before="40" w:after="40"/>
              <w:jc w:val="center"/>
              <w:rPr>
                <w:rFonts w:ascii="Trebuchet MS" w:hAnsi="Trebuchet MS"/>
                <w:b/>
                <w:sz w:val="20"/>
                <w:szCs w:val="20"/>
                <w:lang w:val="en-GB"/>
              </w:rPr>
            </w:pPr>
          </w:p>
        </w:tc>
      </w:tr>
      <w:tr w:rsidR="00C1730C" w:rsidRPr="00ED0651" w14:paraId="532412E8"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41BBAFCD" w14:textId="3A59F2D6" w:rsidR="00C1730C" w:rsidRPr="00ED0651" w:rsidRDefault="00C1730C" w:rsidP="00C512A5">
            <w:pPr>
              <w:spacing w:before="80" w:after="80"/>
              <w:rPr>
                <w:rFonts w:ascii="Trebuchet MS" w:hAnsi="Trebuchet MS"/>
                <w:sz w:val="20"/>
                <w:lang w:val="en-GB" w:eastAsia="de-DE"/>
              </w:rPr>
            </w:pPr>
            <w:r w:rsidRPr="00A90EE4">
              <w:rPr>
                <w:rFonts w:ascii="Trebuchet MS" w:hAnsi="Trebuchet MS"/>
                <w:sz w:val="20"/>
                <w:lang w:val="en-GB" w:eastAsia="de-DE"/>
              </w:rPr>
              <w:t xml:space="preserve">General  </w:t>
            </w:r>
          </w:p>
        </w:tc>
        <w:tc>
          <w:tcPr>
            <w:tcW w:w="850" w:type="dxa"/>
            <w:shd w:val="clear" w:color="auto" w:fill="auto"/>
            <w:vAlign w:val="center"/>
          </w:tcPr>
          <w:p w14:paraId="585411C1"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2C3A017D"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4857F339"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vAlign w:val="center"/>
          </w:tcPr>
          <w:p w14:paraId="711AB13D"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280E61B4"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4AC709A3"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50C9847C"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vAlign w:val="center"/>
          </w:tcPr>
          <w:p w14:paraId="5DEC73D1" w14:textId="77777777" w:rsidR="00C1730C" w:rsidRPr="00ED0651" w:rsidRDefault="00C1730C" w:rsidP="00C512A5">
            <w:pPr>
              <w:spacing w:before="40" w:after="40"/>
              <w:jc w:val="center"/>
              <w:rPr>
                <w:rFonts w:ascii="Trebuchet MS" w:hAnsi="Trebuchet MS"/>
                <w:lang w:val="en-GB"/>
              </w:rPr>
            </w:pPr>
          </w:p>
        </w:tc>
      </w:tr>
      <w:tr w:rsidR="00C1730C" w:rsidRPr="00ED0651" w14:paraId="073E10DE"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29F64365" w14:textId="6D7131D9" w:rsidR="00C1730C" w:rsidRPr="00ED0651" w:rsidRDefault="00C1730C" w:rsidP="00C512A5">
            <w:pPr>
              <w:spacing w:before="80" w:after="80"/>
              <w:rPr>
                <w:rFonts w:ascii="Trebuchet MS" w:hAnsi="Trebuchet MS"/>
                <w:sz w:val="20"/>
                <w:lang w:val="en-GB" w:eastAsia="de-DE"/>
              </w:rPr>
            </w:pPr>
            <w:r w:rsidRPr="00A90EE4">
              <w:rPr>
                <w:rFonts w:ascii="Trebuchet MS" w:hAnsi="Trebuchet MS"/>
                <w:sz w:val="20"/>
                <w:lang w:val="en-GB" w:eastAsia="de-DE"/>
              </w:rPr>
              <w:t>Staff Costs</w:t>
            </w:r>
          </w:p>
        </w:tc>
        <w:tc>
          <w:tcPr>
            <w:tcW w:w="850" w:type="dxa"/>
            <w:shd w:val="clear" w:color="auto" w:fill="auto"/>
            <w:vAlign w:val="center"/>
          </w:tcPr>
          <w:p w14:paraId="67844FDB"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59F8806A"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2D634604"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vAlign w:val="center"/>
          </w:tcPr>
          <w:p w14:paraId="5481C352"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112EFFA7"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53125B7F"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024CE8F6"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vAlign w:val="center"/>
          </w:tcPr>
          <w:p w14:paraId="5B91E654" w14:textId="77777777" w:rsidR="00C1730C" w:rsidRPr="00ED0651" w:rsidRDefault="00C1730C" w:rsidP="00C512A5">
            <w:pPr>
              <w:spacing w:before="40" w:after="40"/>
              <w:jc w:val="center"/>
              <w:rPr>
                <w:rFonts w:ascii="Trebuchet MS" w:hAnsi="Trebuchet MS"/>
                <w:lang w:val="en-GB"/>
              </w:rPr>
            </w:pPr>
          </w:p>
        </w:tc>
      </w:tr>
      <w:tr w:rsidR="00C1730C" w:rsidRPr="00ED0651" w14:paraId="4D002C71"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7319D1CA" w14:textId="4800906F" w:rsidR="00C1730C" w:rsidRPr="00ED0651" w:rsidRDefault="00C1730C" w:rsidP="00C512A5">
            <w:pPr>
              <w:spacing w:before="80" w:after="80"/>
              <w:rPr>
                <w:rFonts w:ascii="Trebuchet MS" w:hAnsi="Trebuchet MS"/>
                <w:sz w:val="20"/>
                <w:lang w:val="en-GB" w:eastAsia="de-DE"/>
              </w:rPr>
            </w:pPr>
            <w:r w:rsidRPr="00A90EE4">
              <w:rPr>
                <w:rFonts w:ascii="Trebuchet MS" w:hAnsi="Trebuchet MS"/>
                <w:sz w:val="20"/>
                <w:lang w:val="en-GB" w:eastAsia="de-DE"/>
              </w:rPr>
              <w:t xml:space="preserve">Office and Administration </w:t>
            </w:r>
          </w:p>
        </w:tc>
        <w:tc>
          <w:tcPr>
            <w:tcW w:w="850" w:type="dxa"/>
            <w:shd w:val="clear" w:color="auto" w:fill="auto"/>
            <w:vAlign w:val="center"/>
          </w:tcPr>
          <w:p w14:paraId="4092149D"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3F2DA9F8"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55DE6E40"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vAlign w:val="center"/>
          </w:tcPr>
          <w:p w14:paraId="51388150"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7FC5C1C2"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60A73EAA"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0B1BDE19"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vAlign w:val="center"/>
          </w:tcPr>
          <w:p w14:paraId="47240C7F" w14:textId="77777777" w:rsidR="00C1730C" w:rsidRPr="00ED0651" w:rsidRDefault="00C1730C" w:rsidP="00C512A5">
            <w:pPr>
              <w:spacing w:before="40" w:after="40"/>
              <w:jc w:val="center"/>
              <w:rPr>
                <w:rFonts w:ascii="Trebuchet MS" w:hAnsi="Trebuchet MS"/>
                <w:lang w:val="en-GB"/>
              </w:rPr>
            </w:pPr>
          </w:p>
        </w:tc>
      </w:tr>
      <w:tr w:rsidR="00C1730C" w:rsidRPr="00ED0651" w14:paraId="5A11A8F0"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1AB5CFC2" w14:textId="379EDCAE" w:rsidR="00C1730C" w:rsidRPr="00ED0651" w:rsidRDefault="00C1730C" w:rsidP="00C512A5">
            <w:pPr>
              <w:spacing w:before="80" w:after="80"/>
              <w:rPr>
                <w:rFonts w:ascii="Trebuchet MS" w:hAnsi="Trebuchet MS"/>
                <w:sz w:val="20"/>
                <w:lang w:val="en-GB" w:eastAsia="de-DE"/>
              </w:rPr>
            </w:pPr>
            <w:r w:rsidRPr="00A90EE4">
              <w:rPr>
                <w:rFonts w:ascii="Trebuchet MS" w:hAnsi="Trebuchet MS"/>
                <w:sz w:val="20"/>
                <w:lang w:val="en-GB" w:eastAsia="de-DE"/>
              </w:rPr>
              <w:t>Travel and Accommodation</w:t>
            </w:r>
            <w:r w:rsidRPr="00A90EE4" w:rsidDel="00195B20">
              <w:rPr>
                <w:rFonts w:ascii="Trebuchet MS" w:hAnsi="Trebuchet MS"/>
                <w:sz w:val="20"/>
                <w:lang w:val="en-GB" w:eastAsia="de-DE"/>
              </w:rPr>
              <w:t xml:space="preserve"> </w:t>
            </w:r>
          </w:p>
        </w:tc>
        <w:tc>
          <w:tcPr>
            <w:tcW w:w="850" w:type="dxa"/>
            <w:shd w:val="clear" w:color="auto" w:fill="auto"/>
            <w:vAlign w:val="center"/>
          </w:tcPr>
          <w:p w14:paraId="4BEFFDBF"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50E67209"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33B1A175"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vAlign w:val="center"/>
          </w:tcPr>
          <w:p w14:paraId="408BC558"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4D1E9184"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28C158E9"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1C7CA1F6"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vAlign w:val="center"/>
          </w:tcPr>
          <w:p w14:paraId="745E207F" w14:textId="77777777" w:rsidR="00C1730C" w:rsidRPr="00ED0651" w:rsidRDefault="00C1730C" w:rsidP="00C512A5">
            <w:pPr>
              <w:spacing w:before="40" w:after="40"/>
              <w:jc w:val="center"/>
              <w:rPr>
                <w:rFonts w:ascii="Trebuchet MS" w:hAnsi="Trebuchet MS"/>
                <w:lang w:val="en-GB"/>
              </w:rPr>
            </w:pPr>
          </w:p>
        </w:tc>
      </w:tr>
      <w:tr w:rsidR="00C1730C" w:rsidRPr="00ED0651" w14:paraId="28E9D9E5"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728AE251" w14:textId="581FF28A" w:rsidR="00C1730C" w:rsidRPr="00ED0651" w:rsidRDefault="00C1730C" w:rsidP="00C512A5">
            <w:pPr>
              <w:spacing w:before="80" w:after="80"/>
              <w:rPr>
                <w:rFonts w:ascii="Trebuchet MS" w:hAnsi="Trebuchet MS"/>
                <w:sz w:val="20"/>
                <w:lang w:val="en-GB" w:eastAsia="de-DE"/>
              </w:rPr>
            </w:pPr>
            <w:r w:rsidRPr="00A90EE4">
              <w:rPr>
                <w:rFonts w:ascii="Trebuchet MS" w:hAnsi="Trebuchet MS"/>
                <w:sz w:val="20"/>
                <w:lang w:val="en-GB" w:eastAsia="de-DE"/>
              </w:rPr>
              <w:t>External</w:t>
            </w:r>
            <w:r>
              <w:rPr>
                <w:rFonts w:ascii="Trebuchet MS" w:hAnsi="Trebuchet MS"/>
                <w:sz w:val="20"/>
                <w:lang w:val="en-GB" w:eastAsia="de-DE"/>
              </w:rPr>
              <w:t xml:space="preserve"> e</w:t>
            </w:r>
            <w:r w:rsidRPr="00A90EE4">
              <w:rPr>
                <w:rFonts w:ascii="Trebuchet MS" w:hAnsi="Trebuchet MS"/>
                <w:sz w:val="20"/>
                <w:lang w:val="en-GB" w:eastAsia="de-DE"/>
              </w:rPr>
              <w:t>xpert</w:t>
            </w:r>
            <w:r>
              <w:rPr>
                <w:rFonts w:ascii="Trebuchet MS" w:hAnsi="Trebuchet MS"/>
                <w:sz w:val="20"/>
                <w:lang w:val="en-GB" w:eastAsia="de-DE"/>
              </w:rPr>
              <w:t>ise and services</w:t>
            </w:r>
            <w:r w:rsidRPr="00A90EE4">
              <w:rPr>
                <w:rFonts w:ascii="Trebuchet MS" w:hAnsi="Trebuchet MS"/>
                <w:sz w:val="20"/>
                <w:lang w:val="en-GB" w:eastAsia="de-DE"/>
              </w:rPr>
              <w:t xml:space="preserve"> </w:t>
            </w:r>
          </w:p>
        </w:tc>
        <w:tc>
          <w:tcPr>
            <w:tcW w:w="850" w:type="dxa"/>
            <w:shd w:val="clear" w:color="auto" w:fill="auto"/>
            <w:vAlign w:val="center"/>
          </w:tcPr>
          <w:p w14:paraId="5519232D"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406768F6"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5A32899F"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vAlign w:val="center"/>
          </w:tcPr>
          <w:p w14:paraId="5FD673F3"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412B0D4A"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2BA9ABD2"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27316C42"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vAlign w:val="center"/>
          </w:tcPr>
          <w:p w14:paraId="2E12F911" w14:textId="77777777" w:rsidR="00C1730C" w:rsidRPr="00ED0651" w:rsidRDefault="00C1730C" w:rsidP="00C512A5">
            <w:pPr>
              <w:spacing w:before="40" w:after="40"/>
              <w:jc w:val="center"/>
              <w:rPr>
                <w:rFonts w:ascii="Trebuchet MS" w:hAnsi="Trebuchet MS"/>
                <w:lang w:val="en-GB"/>
              </w:rPr>
            </w:pPr>
          </w:p>
        </w:tc>
      </w:tr>
      <w:tr w:rsidR="00C1730C" w:rsidRPr="00ED0651" w14:paraId="1CFE5F8A"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2E58DC11" w14:textId="46DB3B9A" w:rsidR="00C1730C" w:rsidRPr="00ED0651" w:rsidRDefault="00C1730C" w:rsidP="00C512A5">
            <w:pPr>
              <w:spacing w:before="80" w:after="80"/>
              <w:rPr>
                <w:rFonts w:ascii="Trebuchet MS" w:hAnsi="Trebuchet MS"/>
                <w:sz w:val="20"/>
                <w:lang w:val="en-GB" w:eastAsia="de-DE"/>
              </w:rPr>
            </w:pPr>
            <w:r w:rsidRPr="00A90EE4">
              <w:rPr>
                <w:rFonts w:ascii="Trebuchet MS" w:hAnsi="Trebuchet MS"/>
                <w:sz w:val="20"/>
                <w:lang w:val="en-GB" w:eastAsia="de-DE"/>
              </w:rPr>
              <w:t xml:space="preserve">Equipment </w:t>
            </w:r>
          </w:p>
        </w:tc>
        <w:tc>
          <w:tcPr>
            <w:tcW w:w="850" w:type="dxa"/>
            <w:shd w:val="clear" w:color="auto" w:fill="auto"/>
            <w:vAlign w:val="center"/>
          </w:tcPr>
          <w:p w14:paraId="21FF42A8"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58ACEFA3"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7D721A6D"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vAlign w:val="center"/>
          </w:tcPr>
          <w:p w14:paraId="1D6CBC1D"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6F796964"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1FCD1EC3"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1B21D504"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vAlign w:val="center"/>
          </w:tcPr>
          <w:p w14:paraId="7BF5BA70" w14:textId="77777777" w:rsidR="00C1730C" w:rsidRPr="00ED0651" w:rsidRDefault="00C1730C" w:rsidP="00C512A5">
            <w:pPr>
              <w:spacing w:before="40" w:after="40"/>
              <w:jc w:val="center"/>
              <w:rPr>
                <w:rFonts w:ascii="Trebuchet MS" w:hAnsi="Trebuchet MS"/>
                <w:lang w:val="en-GB"/>
              </w:rPr>
            </w:pPr>
          </w:p>
        </w:tc>
      </w:tr>
      <w:tr w:rsidR="00C1730C" w:rsidRPr="00ED0651" w14:paraId="5E55B664" w14:textId="77777777" w:rsidTr="00C512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985" w:type="dxa"/>
            <w:shd w:val="clear" w:color="auto" w:fill="D9DBEE"/>
          </w:tcPr>
          <w:p w14:paraId="65A3E68E" w14:textId="4CC04C15" w:rsidR="00C1730C" w:rsidRPr="00ED0651" w:rsidRDefault="00C1730C" w:rsidP="00C512A5">
            <w:pPr>
              <w:spacing w:before="80" w:after="80"/>
              <w:rPr>
                <w:rFonts w:ascii="Trebuchet MS" w:hAnsi="Trebuchet MS"/>
                <w:sz w:val="20"/>
                <w:lang w:val="en-GB" w:eastAsia="de-DE"/>
              </w:rPr>
            </w:pPr>
            <w:r>
              <w:rPr>
                <w:rFonts w:ascii="Trebuchet MS" w:hAnsi="Trebuchet MS"/>
                <w:sz w:val="20"/>
                <w:lang w:val="en-GB" w:eastAsia="de-DE"/>
              </w:rPr>
              <w:t>Net r</w:t>
            </w:r>
            <w:r w:rsidRPr="00A90EE4">
              <w:rPr>
                <w:rFonts w:ascii="Trebuchet MS" w:hAnsi="Trebuchet MS"/>
                <w:sz w:val="20"/>
                <w:lang w:val="en-GB" w:eastAsia="de-DE"/>
              </w:rPr>
              <w:t>evenue</w:t>
            </w:r>
          </w:p>
        </w:tc>
        <w:tc>
          <w:tcPr>
            <w:tcW w:w="850" w:type="dxa"/>
            <w:shd w:val="clear" w:color="auto" w:fill="auto"/>
            <w:vAlign w:val="center"/>
          </w:tcPr>
          <w:p w14:paraId="5BD0C2FB"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72D4F883"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708" w:type="dxa"/>
            <w:shd w:val="clear" w:color="auto" w:fill="auto"/>
            <w:vAlign w:val="center"/>
          </w:tcPr>
          <w:p w14:paraId="6F4EB7EB"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1418" w:type="dxa"/>
          </w:tcPr>
          <w:p w14:paraId="39F295CD" w14:textId="77777777" w:rsidR="00C1730C" w:rsidRPr="00ED0651" w:rsidRDefault="00C1730C" w:rsidP="00C512A5">
            <w:pPr>
              <w:spacing w:before="40" w:after="40"/>
              <w:jc w:val="center"/>
              <w:rPr>
                <w:rFonts w:ascii="Trebuchet MS" w:hAnsi="Trebuchet MS"/>
                <w:lang w:val="en-GB"/>
              </w:rPr>
            </w:pPr>
          </w:p>
        </w:tc>
        <w:tc>
          <w:tcPr>
            <w:tcW w:w="850" w:type="dxa"/>
            <w:shd w:val="clear" w:color="auto" w:fill="auto"/>
            <w:vAlign w:val="center"/>
          </w:tcPr>
          <w:p w14:paraId="2A69B4D0"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3" w:type="dxa"/>
            <w:vAlign w:val="center"/>
          </w:tcPr>
          <w:p w14:paraId="344A5326"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992" w:type="dxa"/>
            <w:vAlign w:val="center"/>
          </w:tcPr>
          <w:p w14:paraId="2264AC80" w14:textId="77777777" w:rsidR="00C1730C" w:rsidRPr="00ED0651" w:rsidRDefault="00C1730C" w:rsidP="00C512A5">
            <w:pPr>
              <w:spacing w:before="40" w:after="40"/>
              <w:jc w:val="center"/>
              <w:rPr>
                <w:rFonts w:ascii="Trebuchet MS" w:hAnsi="Trebuchet MS"/>
                <w:lang w:val="en-GB"/>
              </w:rPr>
            </w:pPr>
            <w:r w:rsidRPr="00ED0651">
              <w:rPr>
                <w:rFonts w:ascii="Trebuchet MS" w:hAnsi="Trebuchet MS" w:cs="Arial"/>
                <w:sz w:val="22"/>
                <w:szCs w:val="22"/>
                <w:lang w:val="en-GB"/>
              </w:rPr>
              <w:fldChar w:fldCharType="begin">
                <w:ffData>
                  <w:name w:val="Check1"/>
                  <w:enabled/>
                  <w:calcOnExit w:val="0"/>
                  <w:checkBox>
                    <w:sizeAuto/>
                    <w:default w:val="0"/>
                  </w:checkBox>
                </w:ffData>
              </w:fldChar>
            </w:r>
            <w:r w:rsidRPr="00ED0651">
              <w:rPr>
                <w:rFonts w:ascii="Trebuchet MS" w:hAnsi="Trebuchet MS" w:cs="Arial"/>
                <w:sz w:val="22"/>
                <w:szCs w:val="22"/>
                <w:lang w:val="en-GB"/>
              </w:rPr>
              <w:instrText xml:space="preserve"> FORMCHECKBOX </w:instrText>
            </w:r>
            <w:r w:rsidR="00D66F6E">
              <w:rPr>
                <w:rFonts w:ascii="Trebuchet MS" w:hAnsi="Trebuchet MS" w:cs="Arial"/>
                <w:sz w:val="22"/>
                <w:szCs w:val="22"/>
                <w:lang w:val="en-GB"/>
              </w:rPr>
            </w:r>
            <w:r w:rsidR="00D66F6E">
              <w:rPr>
                <w:rFonts w:ascii="Trebuchet MS" w:hAnsi="Trebuchet MS" w:cs="Arial"/>
                <w:sz w:val="22"/>
                <w:szCs w:val="22"/>
                <w:lang w:val="en-GB"/>
              </w:rPr>
              <w:fldChar w:fldCharType="separate"/>
            </w:r>
            <w:r w:rsidRPr="00ED0651">
              <w:rPr>
                <w:rFonts w:ascii="Trebuchet MS" w:hAnsi="Trebuchet MS" w:cs="Arial"/>
                <w:sz w:val="22"/>
                <w:szCs w:val="22"/>
                <w:lang w:val="en-GB"/>
              </w:rPr>
              <w:fldChar w:fldCharType="end"/>
            </w:r>
          </w:p>
        </w:tc>
        <w:tc>
          <w:tcPr>
            <w:tcW w:w="5812" w:type="dxa"/>
          </w:tcPr>
          <w:p w14:paraId="0B3A8039" w14:textId="77777777" w:rsidR="00C1730C" w:rsidRPr="00ED0651" w:rsidRDefault="00C1730C" w:rsidP="00C512A5">
            <w:pPr>
              <w:spacing w:before="40" w:after="40"/>
              <w:jc w:val="center"/>
              <w:rPr>
                <w:rFonts w:ascii="Trebuchet MS" w:hAnsi="Trebuchet MS"/>
                <w:lang w:val="en-GB"/>
              </w:rPr>
            </w:pPr>
          </w:p>
        </w:tc>
      </w:tr>
    </w:tbl>
    <w:p w14:paraId="21ABC8B3" w14:textId="77777777" w:rsidR="00AA0BA7" w:rsidRDefault="00AA0BA7" w:rsidP="009F25AF">
      <w:pPr>
        <w:rPr>
          <w:rFonts w:ascii="Trebuchet MS" w:hAnsi="Trebuchet MS"/>
          <w:sz w:val="20"/>
          <w:szCs w:val="20"/>
          <w:lang w:val="en-GB"/>
        </w:rPr>
        <w:sectPr w:rsidR="00AA0BA7" w:rsidSect="00C1730C">
          <w:headerReference w:type="default" r:id="rId12"/>
          <w:pgSz w:w="16838" w:h="11906" w:orient="landscape"/>
          <w:pgMar w:top="1134" w:right="1701" w:bottom="1134" w:left="1701" w:header="708" w:footer="708" w:gutter="0"/>
          <w:cols w:space="708"/>
          <w:docGrid w:linePitch="360"/>
        </w:sectPr>
      </w:pPr>
    </w:p>
    <w:p w14:paraId="036CB0FE" w14:textId="77777777" w:rsidR="00851A61" w:rsidRPr="0076174C" w:rsidRDefault="00851A61" w:rsidP="00851A61">
      <w:pPr>
        <w:pStyle w:val="Entry1withLine"/>
        <w:pBdr>
          <w:bottom w:val="none" w:sz="0" w:space="0" w:color="auto"/>
          <w:between w:val="none" w:sz="0" w:space="0" w:color="auto"/>
        </w:pBdr>
        <w:spacing w:after="120"/>
        <w:jc w:val="both"/>
        <w:rPr>
          <w:rFonts w:ascii="Trebuchet MS" w:hAnsi="Trebuchet MS" w:cs="Arial"/>
          <w:b/>
          <w:bCs/>
          <w:color w:val="0E4096"/>
          <w:lang w:val="en-GB"/>
        </w:rPr>
      </w:pPr>
      <w:r w:rsidRPr="0076174C">
        <w:rPr>
          <w:rFonts w:ascii="Trebuchet MS" w:hAnsi="Trebuchet MS" w:cs="Arial"/>
          <w:b/>
          <w:bCs/>
          <w:color w:val="0E4096"/>
          <w:lang w:val="en-GB"/>
        </w:rPr>
        <w:lastRenderedPageBreak/>
        <w:t xml:space="preserve">HARMONISED IMPLEMENTATION TOOLS FOR </w:t>
      </w:r>
      <w:r>
        <w:rPr>
          <w:rFonts w:ascii="Trebuchet MS" w:hAnsi="Trebuchet MS" w:cs="Arial"/>
          <w:b/>
          <w:bCs/>
          <w:color w:val="0E4096"/>
          <w:lang w:val="en-GB"/>
        </w:rPr>
        <w:t>INTERREG</w:t>
      </w:r>
      <w:r w:rsidRPr="0076174C">
        <w:rPr>
          <w:rFonts w:ascii="Trebuchet MS" w:hAnsi="Trebuchet MS" w:cs="Arial"/>
          <w:b/>
          <w:bCs/>
          <w:color w:val="0E4096"/>
          <w:lang w:val="en-GB"/>
        </w:rPr>
        <w:t xml:space="preserve"> PROGRAMMES</w:t>
      </w:r>
      <w:r>
        <w:rPr>
          <w:rFonts w:ascii="Trebuchet MS" w:hAnsi="Trebuchet MS" w:cs="Arial"/>
          <w:b/>
          <w:bCs/>
          <w:color w:val="0E4096"/>
          <w:lang w:val="en-GB"/>
        </w:rPr>
        <w:t xml:space="preserve"> – TN AND CBC</w:t>
      </w:r>
    </w:p>
    <w:p w14:paraId="63BDB8EA" w14:textId="5CF73876" w:rsidR="00AA0BA7" w:rsidRPr="00851A61" w:rsidRDefault="00AA0BA7" w:rsidP="00AA0BA7">
      <w:pPr>
        <w:spacing w:after="240"/>
        <w:rPr>
          <w:rFonts w:ascii="Trebuchet MS" w:hAnsi="Trebuchet MS"/>
          <w:b/>
          <w:color w:val="D60093"/>
          <w:lang w:val="en-GB"/>
        </w:rPr>
      </w:pPr>
      <w:r w:rsidRPr="00851A61">
        <w:rPr>
          <w:rFonts w:ascii="Trebuchet MS" w:hAnsi="Trebuchet MS"/>
          <w:b/>
          <w:color w:val="D60093"/>
          <w:lang w:val="en-GB"/>
        </w:rPr>
        <w:t xml:space="preserve">Annex 4 - Sampling methodology for FLC administrative verifications (OPTIONAL) (not part of the checklist) </w:t>
      </w:r>
    </w:p>
    <w:p w14:paraId="661837CD" w14:textId="4FB24616" w:rsidR="00872DA9" w:rsidRPr="00851A61" w:rsidRDefault="000757BC" w:rsidP="00851A61">
      <w:pPr>
        <w:shd w:val="clear" w:color="auto" w:fill="BFBFBF" w:themeFill="background1" w:themeFillShade="BF"/>
        <w:spacing w:before="60" w:after="60"/>
        <w:jc w:val="both"/>
        <w:rPr>
          <w:rFonts w:ascii="Trebuchet MS" w:hAnsi="Trebuchet MS"/>
          <w:sz w:val="20"/>
          <w:szCs w:val="20"/>
          <w:lang w:val="en-GB"/>
        </w:rPr>
      </w:pPr>
      <w:r w:rsidRPr="000757BC">
        <w:rPr>
          <w:rFonts w:ascii="Trebuchet MS" w:hAnsi="Trebuchet MS"/>
          <w:bCs/>
          <w:sz w:val="20"/>
          <w:u w:val="single"/>
          <w:lang w:val="en-US" w:eastAsia="en-GB"/>
        </w:rPr>
        <w:t xml:space="preserve">Guide to </w:t>
      </w:r>
      <w:proofErr w:type="spellStart"/>
      <w:r w:rsidRPr="000757BC">
        <w:rPr>
          <w:rFonts w:ascii="Trebuchet MS" w:hAnsi="Trebuchet MS"/>
          <w:bCs/>
          <w:sz w:val="20"/>
          <w:u w:val="single"/>
          <w:lang w:val="en-US" w:eastAsia="en-GB"/>
        </w:rPr>
        <w:t>programmes</w:t>
      </w:r>
      <w:proofErr w:type="spellEnd"/>
      <w:r>
        <w:rPr>
          <w:rFonts w:ascii="Trebuchet MS" w:hAnsi="Trebuchet MS"/>
          <w:bCs/>
          <w:sz w:val="20"/>
          <w:u w:val="single"/>
          <w:lang w:val="en-US" w:eastAsia="en-GB"/>
        </w:rPr>
        <w:t xml:space="preserve"> and FLC</w:t>
      </w:r>
      <w:r w:rsidRPr="000757BC">
        <w:rPr>
          <w:rFonts w:ascii="Trebuchet MS" w:hAnsi="Trebuchet MS"/>
          <w:bCs/>
          <w:sz w:val="20"/>
          <w:lang w:val="en-US" w:eastAsia="en-GB"/>
        </w:rPr>
        <w:t>:</w:t>
      </w:r>
      <w:r>
        <w:rPr>
          <w:rFonts w:ascii="Trebuchet MS" w:hAnsi="Trebuchet MS"/>
          <w:bCs/>
          <w:sz w:val="20"/>
          <w:lang w:val="en-US" w:eastAsia="en-GB"/>
        </w:rPr>
        <w:t xml:space="preserve"> </w:t>
      </w:r>
      <w:r w:rsidR="00872DA9" w:rsidRPr="00851A61">
        <w:rPr>
          <w:rFonts w:ascii="Trebuchet MS" w:hAnsi="Trebuchet MS"/>
          <w:sz w:val="20"/>
          <w:szCs w:val="20"/>
          <w:lang w:val="en-GB"/>
        </w:rPr>
        <w:t>This is a sampling methodology for administrative verifications developed by INTERACT based on experiences of controllers</w:t>
      </w:r>
      <w:r w:rsidR="001810B3" w:rsidRPr="00851A61">
        <w:rPr>
          <w:rFonts w:ascii="Trebuchet MS" w:hAnsi="Trebuchet MS"/>
          <w:sz w:val="20"/>
          <w:szCs w:val="20"/>
          <w:lang w:val="en-GB"/>
        </w:rPr>
        <w:t xml:space="preserve"> and updated with information provided in the </w:t>
      </w:r>
      <w:r w:rsidR="00872DA9" w:rsidRPr="00851A61">
        <w:rPr>
          <w:rFonts w:ascii="Trebuchet MS" w:hAnsi="Trebuchet MS"/>
          <w:sz w:val="20"/>
          <w:szCs w:val="20"/>
          <w:lang w:val="en-GB"/>
        </w:rPr>
        <w:t>European Commission guidance on management verifications</w:t>
      </w:r>
      <w:r w:rsidR="004B0089" w:rsidRPr="00851A61">
        <w:rPr>
          <w:rStyle w:val="FootnoteReference"/>
          <w:rFonts w:ascii="Trebuchet MS" w:hAnsi="Trebuchet MS"/>
          <w:sz w:val="20"/>
          <w:szCs w:val="20"/>
          <w:lang w:val="en-GB"/>
        </w:rPr>
        <w:footnoteReference w:id="4"/>
      </w:r>
      <w:r w:rsidR="00872DA9" w:rsidRPr="00851A61">
        <w:rPr>
          <w:rFonts w:ascii="Trebuchet MS" w:hAnsi="Trebuchet MS"/>
          <w:sz w:val="20"/>
          <w:szCs w:val="20"/>
          <w:lang w:val="en-GB"/>
        </w:rPr>
        <w:t xml:space="preserve"> </w:t>
      </w:r>
      <w:r w:rsidR="001810B3" w:rsidRPr="00851A61">
        <w:rPr>
          <w:rFonts w:ascii="Trebuchet MS" w:hAnsi="Trebuchet MS"/>
          <w:sz w:val="20"/>
          <w:szCs w:val="20"/>
          <w:lang w:val="en-GB"/>
        </w:rPr>
        <w:t xml:space="preserve">This EC guidance </w:t>
      </w:r>
      <w:r w:rsidR="00872DA9" w:rsidRPr="00851A61">
        <w:rPr>
          <w:rFonts w:ascii="Trebuchet MS" w:hAnsi="Trebuchet MS"/>
          <w:sz w:val="20"/>
          <w:szCs w:val="20"/>
          <w:lang w:val="en-GB"/>
        </w:rPr>
        <w:t xml:space="preserve">points out </w:t>
      </w:r>
      <w:r w:rsidR="00872DA9" w:rsidRPr="00851A61">
        <w:rPr>
          <w:rFonts w:ascii="Trebuchet MS" w:hAnsi="Trebuchet MS"/>
          <w:i/>
          <w:sz w:val="20"/>
          <w:szCs w:val="20"/>
          <w:lang w:val="en-GB"/>
        </w:rPr>
        <w:t>although management verifications of 100% of the applications for reimbursement submitted by beneficiaries are required by the regulation, verification of each individual item within each application sent for reimbursement and related proof of delivery included in an application, although desirable, may not be practical</w:t>
      </w:r>
      <w:r w:rsidR="00872DA9" w:rsidRPr="00851A61">
        <w:rPr>
          <w:rFonts w:ascii="Trebuchet MS" w:hAnsi="Trebuchet MS"/>
          <w:sz w:val="20"/>
          <w:szCs w:val="20"/>
          <w:lang w:val="en-GB"/>
        </w:rPr>
        <w:t xml:space="preserve">. </w:t>
      </w:r>
    </w:p>
    <w:p w14:paraId="71699EE6" w14:textId="0117299C" w:rsidR="00F86811" w:rsidRPr="00851A61" w:rsidRDefault="00872DA9" w:rsidP="00851A61">
      <w:pPr>
        <w:shd w:val="clear" w:color="auto" w:fill="BFBFBF" w:themeFill="background1" w:themeFillShade="BF"/>
        <w:spacing w:before="60" w:after="60"/>
        <w:jc w:val="both"/>
        <w:rPr>
          <w:rFonts w:ascii="Trebuchet MS" w:hAnsi="Trebuchet MS"/>
          <w:sz w:val="20"/>
          <w:szCs w:val="20"/>
          <w:lang w:val="en-GB"/>
        </w:rPr>
      </w:pPr>
      <w:r w:rsidRPr="00851A61">
        <w:rPr>
          <w:rFonts w:ascii="Trebuchet MS" w:hAnsi="Trebuchet MS"/>
          <w:sz w:val="20"/>
          <w:szCs w:val="20"/>
          <w:lang w:val="en-GB"/>
        </w:rPr>
        <w:t xml:space="preserve">Experience of many controllers also shows that often 100% </w:t>
      </w:r>
      <w:r w:rsidR="00F86811" w:rsidRPr="00851A61">
        <w:rPr>
          <w:rFonts w:ascii="Trebuchet MS" w:hAnsi="Trebuchet MS"/>
          <w:sz w:val="20"/>
          <w:szCs w:val="20"/>
          <w:lang w:val="en-GB"/>
        </w:rPr>
        <w:t xml:space="preserve">verification </w:t>
      </w:r>
      <w:r w:rsidRPr="00851A61">
        <w:rPr>
          <w:rFonts w:ascii="Trebuchet MS" w:hAnsi="Trebuchet MS"/>
          <w:sz w:val="20"/>
          <w:szCs w:val="20"/>
          <w:lang w:val="en-GB"/>
        </w:rPr>
        <w:t xml:space="preserve">of financially rather insignificant items </w:t>
      </w:r>
      <w:r w:rsidR="00F86811" w:rsidRPr="00851A61">
        <w:rPr>
          <w:rFonts w:ascii="Trebuchet MS" w:hAnsi="Trebuchet MS"/>
          <w:sz w:val="20"/>
          <w:szCs w:val="20"/>
          <w:lang w:val="en-GB"/>
        </w:rPr>
        <w:t xml:space="preserve">drains </w:t>
      </w:r>
      <w:r w:rsidR="008830BC" w:rsidRPr="00851A61">
        <w:rPr>
          <w:rFonts w:ascii="Trebuchet MS" w:hAnsi="Trebuchet MS"/>
          <w:sz w:val="20"/>
          <w:szCs w:val="20"/>
          <w:lang w:val="en-GB"/>
        </w:rPr>
        <w:t xml:space="preserve">away </w:t>
      </w:r>
      <w:r w:rsidR="00F86811" w:rsidRPr="00851A61">
        <w:rPr>
          <w:rFonts w:ascii="Trebuchet MS" w:hAnsi="Trebuchet MS"/>
          <w:sz w:val="20"/>
          <w:szCs w:val="20"/>
          <w:lang w:val="en-GB"/>
        </w:rPr>
        <w:t>time from more significant verifications such as thorough verifications of public procurements.</w:t>
      </w:r>
    </w:p>
    <w:p w14:paraId="1F3E55C8" w14:textId="70A3FC84" w:rsidR="00872DA9" w:rsidRPr="00851A61" w:rsidRDefault="00F86811" w:rsidP="00851A61">
      <w:pPr>
        <w:shd w:val="clear" w:color="auto" w:fill="BFBFBF" w:themeFill="background1" w:themeFillShade="BF"/>
        <w:spacing w:before="60" w:after="60"/>
        <w:jc w:val="both"/>
        <w:rPr>
          <w:rFonts w:ascii="Trebuchet MS" w:hAnsi="Trebuchet MS"/>
          <w:sz w:val="20"/>
          <w:szCs w:val="20"/>
          <w:lang w:val="en-GB"/>
        </w:rPr>
      </w:pPr>
      <w:r w:rsidRPr="00851A61">
        <w:rPr>
          <w:rFonts w:ascii="Trebuchet MS" w:hAnsi="Trebuchet MS"/>
          <w:sz w:val="20"/>
          <w:szCs w:val="20"/>
          <w:lang w:val="en-GB"/>
        </w:rPr>
        <w:t>Sampling is therefore seen as a good way to increase the quality of FLC, especially as more experience with certain project partners (and the quality of their internal controls) becomes available</w:t>
      </w:r>
      <w:r w:rsidR="008830BC" w:rsidRPr="00851A61">
        <w:rPr>
          <w:rFonts w:ascii="Trebuchet MS" w:hAnsi="Trebuchet MS"/>
          <w:sz w:val="20"/>
          <w:szCs w:val="20"/>
          <w:lang w:val="en-GB"/>
        </w:rPr>
        <w:t xml:space="preserve"> over time</w:t>
      </w:r>
      <w:r w:rsidRPr="00851A61">
        <w:rPr>
          <w:rFonts w:ascii="Trebuchet MS" w:hAnsi="Trebuchet MS"/>
          <w:sz w:val="20"/>
          <w:szCs w:val="20"/>
          <w:lang w:val="en-GB"/>
        </w:rPr>
        <w:t xml:space="preserve">. </w:t>
      </w:r>
    </w:p>
    <w:p w14:paraId="05E918E9" w14:textId="6319DADF" w:rsidR="00803BF6" w:rsidRPr="00851A61" w:rsidRDefault="00803BF6" w:rsidP="00851A61">
      <w:pPr>
        <w:shd w:val="clear" w:color="auto" w:fill="BFBFBF" w:themeFill="background1" w:themeFillShade="BF"/>
        <w:spacing w:before="60" w:after="60"/>
        <w:jc w:val="both"/>
        <w:rPr>
          <w:rStyle w:val="Corpsdutexte"/>
          <w:rFonts w:ascii="Trebuchet MS" w:hAnsi="Trebuchet MS"/>
          <w:i/>
          <w:sz w:val="20"/>
          <w:szCs w:val="20"/>
        </w:rPr>
      </w:pPr>
      <w:r w:rsidRPr="00851A61">
        <w:rPr>
          <w:rFonts w:ascii="Trebuchet MS" w:hAnsi="Trebuchet MS"/>
          <w:sz w:val="20"/>
          <w:szCs w:val="20"/>
          <w:lang w:val="en-GB"/>
        </w:rPr>
        <w:t xml:space="preserve">The sampling methodology </w:t>
      </w:r>
      <w:r w:rsidR="001C7436" w:rsidRPr="00851A61">
        <w:rPr>
          <w:rFonts w:ascii="Trebuchet MS" w:hAnsi="Trebuchet MS"/>
          <w:sz w:val="20"/>
          <w:szCs w:val="20"/>
          <w:lang w:val="en-GB"/>
        </w:rPr>
        <w:t xml:space="preserve">developed appears </w:t>
      </w:r>
      <w:r w:rsidRPr="00851A61">
        <w:rPr>
          <w:rFonts w:ascii="Trebuchet MS" w:hAnsi="Trebuchet MS"/>
          <w:sz w:val="20"/>
          <w:szCs w:val="20"/>
          <w:lang w:val="en-GB"/>
        </w:rPr>
        <w:t>in line with the recommendations provided in the European Commission guidance on management verification</w:t>
      </w:r>
      <w:r w:rsidR="00851A61">
        <w:rPr>
          <w:rFonts w:ascii="Trebuchet MS" w:hAnsi="Trebuchet MS"/>
          <w:sz w:val="20"/>
          <w:szCs w:val="20"/>
          <w:lang w:val="en-GB"/>
        </w:rPr>
        <w:t xml:space="preserve"> (draft)</w:t>
      </w:r>
      <w:r w:rsidR="00061F38" w:rsidRPr="00851A61">
        <w:rPr>
          <w:rFonts w:ascii="Trebuchet MS" w:hAnsi="Trebuchet MS"/>
          <w:sz w:val="20"/>
          <w:szCs w:val="20"/>
          <w:lang w:val="en-GB"/>
        </w:rPr>
        <w:t xml:space="preserve">: </w:t>
      </w:r>
      <w:r w:rsidR="00DA4A2B" w:rsidRPr="00851A61">
        <w:rPr>
          <w:rStyle w:val="Corpsdutexte"/>
          <w:rFonts w:ascii="Trebuchet MS" w:hAnsi="Trebuchet MS"/>
          <w:i/>
          <w:sz w:val="20"/>
          <w:szCs w:val="20"/>
          <w:shd w:val="clear" w:color="auto" w:fill="BFBFBF" w:themeFill="background1" w:themeFillShade="BF"/>
        </w:rPr>
        <w:t xml:space="preserve">Therefore, selection of the expenditure items to be verified within each application sent for reimbursement, where justified, may be done on a sample of transactions, selected taking account of risk factors (value of items, type of beneficiary, past experience), and complemented by a random sample where considered necessary to ensure that all items have probability to be selected. The sampling methodology used shall be established ex-ante by the managing authority and it is recommended to establish parameters in order that the results of the sample checked can be used to project the errors in the unchecked population. In case that material errors are found in the sample tested, it is recommended to extend the testing to determine whether the errors have a common feature (i.a. type of transaction, location, product, period of time) and then either extend the verifications to 100% of the payment claim or project the error in the sample to the unchecked population. </w:t>
      </w:r>
    </w:p>
    <w:p w14:paraId="321DC608" w14:textId="69B61CCA" w:rsidR="00061F38" w:rsidRPr="00851A61" w:rsidRDefault="00061F38" w:rsidP="00851A61">
      <w:pPr>
        <w:shd w:val="clear" w:color="auto" w:fill="BFBFBF" w:themeFill="background1" w:themeFillShade="BF"/>
        <w:spacing w:before="60" w:after="60"/>
        <w:jc w:val="both"/>
        <w:rPr>
          <w:rFonts w:ascii="Trebuchet MS" w:hAnsi="Trebuchet MS"/>
          <w:sz w:val="20"/>
          <w:szCs w:val="20"/>
          <w:lang w:val="en-GB"/>
        </w:rPr>
      </w:pPr>
      <w:r w:rsidRPr="00851A61">
        <w:rPr>
          <w:rFonts w:ascii="Trebuchet MS" w:hAnsi="Trebuchet MS"/>
          <w:sz w:val="20"/>
          <w:szCs w:val="20"/>
          <w:lang w:val="en-GB"/>
        </w:rPr>
        <w:t xml:space="preserve">In parts this sampling methodology is </w:t>
      </w:r>
      <w:r w:rsidR="00851A61">
        <w:rPr>
          <w:rFonts w:ascii="Trebuchet MS" w:hAnsi="Trebuchet MS"/>
          <w:sz w:val="20"/>
          <w:szCs w:val="20"/>
          <w:lang w:val="en-GB"/>
        </w:rPr>
        <w:t xml:space="preserve">stricter </w:t>
      </w:r>
      <w:r w:rsidRPr="00851A61">
        <w:rPr>
          <w:rFonts w:ascii="Trebuchet MS" w:hAnsi="Trebuchet MS"/>
          <w:sz w:val="20"/>
          <w:szCs w:val="20"/>
          <w:lang w:val="en-GB"/>
        </w:rPr>
        <w:t xml:space="preserve">than EC guidance (e.g. the first report or public procurements are never sampled). </w:t>
      </w:r>
    </w:p>
    <w:p w14:paraId="02961DB1" w14:textId="0F439AE2" w:rsidR="00DA4A2B" w:rsidRPr="00851A61" w:rsidRDefault="00DA4A2B" w:rsidP="00851A61">
      <w:pPr>
        <w:shd w:val="clear" w:color="auto" w:fill="BFBFBF" w:themeFill="background1" w:themeFillShade="BF"/>
        <w:spacing w:before="60" w:after="60"/>
        <w:jc w:val="both"/>
        <w:rPr>
          <w:rFonts w:ascii="Trebuchet MS" w:hAnsi="Trebuchet MS"/>
          <w:sz w:val="20"/>
          <w:szCs w:val="20"/>
          <w:lang w:val="en-GB"/>
        </w:rPr>
      </w:pPr>
      <w:r w:rsidRPr="00851A61">
        <w:rPr>
          <w:rFonts w:ascii="Trebuchet MS" w:hAnsi="Trebuchet MS"/>
          <w:sz w:val="20"/>
          <w:szCs w:val="20"/>
          <w:lang w:val="en-GB"/>
        </w:rPr>
        <w:t xml:space="preserve">The sampling methodology can be adjusted to programme needs.  </w:t>
      </w:r>
    </w:p>
    <w:p w14:paraId="2CCBB7F5" w14:textId="77777777" w:rsidR="00B96126" w:rsidRDefault="00B96126" w:rsidP="00B96126">
      <w:pPr>
        <w:widowControl w:val="0"/>
        <w:spacing w:before="80" w:after="40"/>
        <w:rPr>
          <w:rFonts w:ascii="Trebuchet MS" w:hAnsi="Trebuchet MS"/>
          <w:sz w:val="20"/>
          <w:szCs w:val="20"/>
          <w:lang w:val="en-GB"/>
        </w:rPr>
      </w:pPr>
    </w:p>
    <w:p w14:paraId="1E5CF1FF" w14:textId="77777777" w:rsidR="00B96126" w:rsidRDefault="00B96126" w:rsidP="00B96126">
      <w:pPr>
        <w:widowControl w:val="0"/>
        <w:spacing w:before="80" w:after="40"/>
        <w:rPr>
          <w:rFonts w:ascii="Trebuchet MS" w:hAnsi="Trebuchet MS"/>
          <w:sz w:val="20"/>
          <w:szCs w:val="20"/>
          <w:lang w:val="en-GB"/>
        </w:rPr>
      </w:pPr>
    </w:p>
    <w:p w14:paraId="13228611" w14:textId="77777777" w:rsidR="00171FAA" w:rsidRDefault="00171FAA" w:rsidP="00B96126">
      <w:pPr>
        <w:widowControl w:val="0"/>
        <w:spacing w:before="80" w:after="40"/>
        <w:rPr>
          <w:rFonts w:ascii="Trebuchet MS" w:hAnsi="Trebuchet MS"/>
          <w:sz w:val="20"/>
          <w:szCs w:val="20"/>
          <w:lang w:val="en-GB"/>
        </w:rPr>
        <w:sectPr w:rsidR="00171FAA" w:rsidSect="00872DA9">
          <w:headerReference w:type="default" r:id="rId13"/>
          <w:footerReference w:type="default" r:id="rId14"/>
          <w:pgSz w:w="11906" w:h="16838"/>
          <w:pgMar w:top="384" w:right="851" w:bottom="680" w:left="851" w:header="680" w:footer="567" w:gutter="0"/>
          <w:cols w:space="708"/>
          <w:docGrid w:linePitch="360"/>
        </w:sectPr>
      </w:pPr>
    </w:p>
    <w:p w14:paraId="7BD2C6B8" w14:textId="2C5AD442" w:rsidR="00AA0BA7" w:rsidRPr="00AA0BA7" w:rsidRDefault="00AA0BA7" w:rsidP="00B96126">
      <w:pPr>
        <w:widowControl w:val="0"/>
        <w:spacing w:before="80" w:after="40"/>
        <w:rPr>
          <w:rFonts w:ascii="Trebuchet MS" w:hAnsi="Trebuchet MS"/>
          <w:sz w:val="20"/>
          <w:szCs w:val="20"/>
          <w:lang w:val="en-GB"/>
        </w:rPr>
      </w:pPr>
      <w:r w:rsidRPr="00AA0BA7">
        <w:rPr>
          <w:rFonts w:ascii="Trebuchet MS" w:hAnsi="Trebuchet MS"/>
          <w:sz w:val="20"/>
          <w:szCs w:val="20"/>
          <w:lang w:val="en-GB"/>
        </w:rPr>
        <w:lastRenderedPageBreak/>
        <w:t xml:space="preserve">First Level Control applies a </w:t>
      </w:r>
      <w:r w:rsidRPr="001B4C8E">
        <w:rPr>
          <w:rFonts w:ascii="Trebuchet MS" w:hAnsi="Trebuchet MS"/>
          <w:b/>
          <w:sz w:val="20"/>
          <w:szCs w:val="20"/>
          <w:lang w:val="en-GB"/>
        </w:rPr>
        <w:t>risk-oriented control approach</w:t>
      </w:r>
      <w:r w:rsidRPr="00AA0BA7">
        <w:rPr>
          <w:rFonts w:ascii="Trebuchet MS" w:hAnsi="Trebuchet MS"/>
          <w:sz w:val="20"/>
          <w:szCs w:val="20"/>
          <w:lang w:val="en-GB"/>
        </w:rPr>
        <w:t xml:space="preserve">, which is adapted throughout the lifetime of the project and for each financial report. </w:t>
      </w:r>
      <w:r w:rsidRPr="001B4C8E">
        <w:rPr>
          <w:rFonts w:ascii="Trebuchet MS" w:hAnsi="Trebuchet MS"/>
          <w:sz w:val="20"/>
          <w:szCs w:val="20"/>
          <w:lang w:val="en-GB"/>
        </w:rPr>
        <w:t xml:space="preserve">Risk-oriented means </w:t>
      </w:r>
      <w:r w:rsidRPr="00AA0BA7">
        <w:rPr>
          <w:rFonts w:ascii="Trebuchet MS" w:hAnsi="Trebuchet MS"/>
          <w:sz w:val="20"/>
          <w:szCs w:val="20"/>
          <w:lang w:val="en-GB"/>
        </w:rPr>
        <w:t xml:space="preserve">that controllers focus </w:t>
      </w:r>
      <w:r w:rsidR="001B4C8E">
        <w:rPr>
          <w:rFonts w:ascii="Trebuchet MS" w:hAnsi="Trebuchet MS"/>
          <w:sz w:val="20"/>
          <w:szCs w:val="20"/>
          <w:lang w:val="en-GB"/>
        </w:rPr>
        <w:t>verifications</w:t>
      </w:r>
      <w:r w:rsidRPr="00AA0BA7">
        <w:rPr>
          <w:rFonts w:ascii="Trebuchet MS" w:hAnsi="Trebuchet MS"/>
          <w:sz w:val="20"/>
          <w:szCs w:val="20"/>
          <w:lang w:val="en-GB"/>
        </w:rPr>
        <w:t xml:space="preserve"> on areas where, according to their assessment, the risk of material misstatement is high, and reduce control work in areas, where the risk of material misstatement is low. </w:t>
      </w:r>
    </w:p>
    <w:p w14:paraId="601E7ECC" w14:textId="338DAE56" w:rsidR="00AA0BA7" w:rsidRPr="00AA0BA7" w:rsidRDefault="00AA0BA7" w:rsidP="00B96126">
      <w:pPr>
        <w:widowControl w:val="0"/>
        <w:spacing w:before="80" w:after="40"/>
        <w:jc w:val="both"/>
        <w:rPr>
          <w:rFonts w:ascii="Trebuchet MS" w:hAnsi="Trebuchet MS"/>
          <w:sz w:val="20"/>
          <w:szCs w:val="20"/>
          <w:lang w:val="en-GB"/>
        </w:rPr>
      </w:pPr>
      <w:r w:rsidRPr="00AA0BA7">
        <w:rPr>
          <w:rFonts w:ascii="Trebuchet MS" w:hAnsi="Trebuchet MS"/>
          <w:sz w:val="20"/>
          <w:szCs w:val="20"/>
          <w:lang w:val="en-GB"/>
        </w:rPr>
        <w:t>In case of doubt, controller</w:t>
      </w:r>
      <w:r w:rsidR="001C7436">
        <w:rPr>
          <w:rFonts w:ascii="Trebuchet MS" w:hAnsi="Trebuchet MS"/>
          <w:sz w:val="20"/>
          <w:szCs w:val="20"/>
          <w:lang w:val="en-GB"/>
        </w:rPr>
        <w:t xml:space="preserve">s </w:t>
      </w:r>
      <w:r w:rsidRPr="00AA0BA7">
        <w:rPr>
          <w:rFonts w:ascii="Trebuchet MS" w:hAnsi="Trebuchet MS"/>
          <w:sz w:val="20"/>
          <w:szCs w:val="20"/>
          <w:lang w:val="en-GB"/>
        </w:rPr>
        <w:t xml:space="preserve">extend </w:t>
      </w:r>
      <w:r w:rsidR="001B4C8E">
        <w:rPr>
          <w:rFonts w:ascii="Trebuchet MS" w:hAnsi="Trebuchet MS"/>
          <w:sz w:val="20"/>
          <w:szCs w:val="20"/>
          <w:lang w:val="en-GB"/>
        </w:rPr>
        <w:t xml:space="preserve">verifications </w:t>
      </w:r>
      <w:r w:rsidRPr="00AA0BA7">
        <w:rPr>
          <w:rFonts w:ascii="Trebuchet MS" w:hAnsi="Trebuchet MS"/>
          <w:sz w:val="20"/>
          <w:szCs w:val="20"/>
          <w:lang w:val="en-GB"/>
        </w:rPr>
        <w:t xml:space="preserve">up to a 100% of supporting documents. </w:t>
      </w:r>
    </w:p>
    <w:p w14:paraId="0CF33EFD" w14:textId="77777777" w:rsidR="00AA0BA7" w:rsidRPr="00AA0BA7" w:rsidRDefault="00AA0BA7" w:rsidP="00B96126">
      <w:pPr>
        <w:widowControl w:val="0"/>
        <w:spacing w:before="80" w:after="40"/>
        <w:rPr>
          <w:rFonts w:ascii="Trebuchet MS" w:hAnsi="Trebuchet MS"/>
          <w:sz w:val="20"/>
          <w:szCs w:val="20"/>
          <w:lang w:val="en-GB"/>
        </w:rPr>
      </w:pPr>
      <w:r w:rsidRPr="00AA0BA7">
        <w:rPr>
          <w:rFonts w:ascii="Trebuchet MS" w:hAnsi="Trebuchet MS"/>
          <w:sz w:val="20"/>
          <w:szCs w:val="20"/>
          <w:lang w:val="en-GB"/>
        </w:rPr>
        <w:t xml:space="preserve">In order to have sufficient evidence for the risk assessment, sampling of expenditure items is excluded for the verification of the first financial report. </w:t>
      </w:r>
    </w:p>
    <w:p w14:paraId="6AC43272" w14:textId="105F5641" w:rsidR="00AA0BA7" w:rsidRPr="00AA0BA7" w:rsidRDefault="00AA0BA7" w:rsidP="00B96126">
      <w:pPr>
        <w:widowControl w:val="0"/>
        <w:spacing w:before="80" w:after="40"/>
        <w:rPr>
          <w:rFonts w:ascii="Trebuchet MS" w:hAnsi="Trebuchet MS"/>
          <w:sz w:val="20"/>
          <w:szCs w:val="20"/>
          <w:lang w:val="en-GB"/>
        </w:rPr>
      </w:pPr>
      <w:r w:rsidRPr="00AA0BA7">
        <w:rPr>
          <w:rFonts w:ascii="Trebuchet MS" w:hAnsi="Trebuchet MS"/>
          <w:sz w:val="20"/>
          <w:szCs w:val="20"/>
          <w:lang w:val="en-GB"/>
        </w:rPr>
        <w:t xml:space="preserve">Based on the results of this first administrative verification, the controller concludes on risks for the project and the </w:t>
      </w:r>
      <w:r w:rsidR="001B4C8E">
        <w:rPr>
          <w:rFonts w:ascii="Trebuchet MS" w:hAnsi="Trebuchet MS"/>
          <w:sz w:val="20"/>
          <w:szCs w:val="20"/>
          <w:lang w:val="en-GB"/>
        </w:rPr>
        <w:t>project partner</w:t>
      </w:r>
      <w:r w:rsidRPr="00AA0BA7">
        <w:rPr>
          <w:rFonts w:ascii="Trebuchet MS" w:hAnsi="Trebuchet MS"/>
          <w:sz w:val="20"/>
          <w:szCs w:val="20"/>
          <w:lang w:val="en-GB"/>
        </w:rPr>
        <w:t xml:space="preserve"> and determines the purpose and type of control procedures and the extent of controls for the verification of the next financial report</w:t>
      </w:r>
      <w:r w:rsidR="001B4C8E">
        <w:rPr>
          <w:rFonts w:ascii="Trebuchet MS" w:hAnsi="Trebuchet MS"/>
          <w:sz w:val="20"/>
          <w:szCs w:val="20"/>
          <w:lang w:val="en-GB"/>
        </w:rPr>
        <w:t xml:space="preserve"> (see </w:t>
      </w:r>
      <w:r w:rsidR="001B4C8E" w:rsidRPr="001B4C8E">
        <w:rPr>
          <w:rFonts w:ascii="Trebuchet MS" w:hAnsi="Trebuchet MS"/>
          <w:i/>
          <w:sz w:val="20"/>
          <w:szCs w:val="20"/>
          <w:lang w:val="en-GB"/>
        </w:rPr>
        <w:t>risk assessment</w:t>
      </w:r>
      <w:r w:rsidR="001B4C8E">
        <w:rPr>
          <w:rFonts w:ascii="Trebuchet MS" w:hAnsi="Trebuchet MS"/>
          <w:sz w:val="20"/>
          <w:szCs w:val="20"/>
          <w:lang w:val="en-GB"/>
        </w:rPr>
        <w:t xml:space="preserve"> templates)</w:t>
      </w:r>
      <w:r w:rsidRPr="00AA0BA7">
        <w:rPr>
          <w:rFonts w:ascii="Trebuchet MS" w:hAnsi="Trebuchet MS"/>
          <w:sz w:val="20"/>
          <w:szCs w:val="20"/>
          <w:lang w:val="en-GB"/>
        </w:rPr>
        <w:t>.</w:t>
      </w:r>
    </w:p>
    <w:p w14:paraId="03D024A5" w14:textId="77777777" w:rsidR="00AA0BA7" w:rsidRPr="00AA0BA7" w:rsidRDefault="00AA0BA7" w:rsidP="00B96126">
      <w:pPr>
        <w:widowControl w:val="0"/>
        <w:spacing w:before="120" w:after="120"/>
        <w:jc w:val="both"/>
        <w:rPr>
          <w:rFonts w:ascii="Trebuchet MS" w:hAnsi="Trebuchet MS"/>
          <w:b/>
          <w:sz w:val="20"/>
          <w:szCs w:val="20"/>
          <w:lang w:val="en-GB"/>
        </w:rPr>
      </w:pPr>
      <w:r w:rsidRPr="00AA0BA7">
        <w:rPr>
          <w:rFonts w:ascii="Trebuchet MS" w:hAnsi="Trebuchet MS"/>
          <w:b/>
          <w:sz w:val="20"/>
          <w:szCs w:val="20"/>
          <w:lang w:val="en-GB"/>
        </w:rPr>
        <w:t>Basic principles of sampling</w:t>
      </w:r>
    </w:p>
    <w:p w14:paraId="631A90B3" w14:textId="77777777" w:rsidR="00AA0BA7" w:rsidRPr="00AA0BA7" w:rsidRDefault="00AA0BA7" w:rsidP="00B96126">
      <w:pPr>
        <w:pStyle w:val="ListParagraph1"/>
        <w:widowControl w:val="0"/>
        <w:numPr>
          <w:ilvl w:val="0"/>
          <w:numId w:val="30"/>
        </w:numPr>
        <w:spacing w:before="40" w:after="40"/>
        <w:ind w:left="164" w:hanging="164"/>
        <w:contextualSpacing w:val="0"/>
        <w:rPr>
          <w:szCs w:val="20"/>
          <w:lang w:val="en-GB" w:eastAsia="de-DE"/>
        </w:rPr>
      </w:pPr>
      <w:r w:rsidRPr="00AA0BA7">
        <w:rPr>
          <w:szCs w:val="20"/>
          <w:lang w:val="en-GB" w:eastAsia="de-DE"/>
        </w:rPr>
        <w:t xml:space="preserve">Sampling is done per budget line based on the total population of items under this budget line.  </w:t>
      </w:r>
    </w:p>
    <w:p w14:paraId="0D2E1D2A" w14:textId="124CA3BE" w:rsidR="00AA0BA7" w:rsidRPr="00AA0BA7" w:rsidRDefault="00AA0BA7" w:rsidP="00B96126">
      <w:pPr>
        <w:pStyle w:val="ListParagraph1"/>
        <w:widowControl w:val="0"/>
        <w:numPr>
          <w:ilvl w:val="0"/>
          <w:numId w:val="30"/>
        </w:numPr>
        <w:spacing w:before="120" w:after="40"/>
        <w:ind w:left="164" w:hanging="164"/>
        <w:contextualSpacing w:val="0"/>
        <w:rPr>
          <w:szCs w:val="20"/>
          <w:lang w:val="en-GB" w:eastAsia="de-DE"/>
        </w:rPr>
      </w:pPr>
      <w:r w:rsidRPr="00AA0BA7">
        <w:rPr>
          <w:szCs w:val="20"/>
          <w:lang w:val="en-GB" w:eastAsia="de-DE"/>
        </w:rPr>
        <w:t xml:space="preserve">Sampling items </w:t>
      </w:r>
      <w:r w:rsidR="001C7436">
        <w:rPr>
          <w:szCs w:val="20"/>
          <w:lang w:val="en-GB" w:eastAsia="de-DE"/>
        </w:rPr>
        <w:t xml:space="preserve">(i.e. the units that are in the total population) </w:t>
      </w:r>
      <w:r w:rsidRPr="00AA0BA7">
        <w:rPr>
          <w:szCs w:val="20"/>
          <w:lang w:val="en-GB" w:eastAsia="de-DE"/>
        </w:rPr>
        <w:t xml:space="preserve">are for example: monthly payments to an employee, invoices, business trip reports, monthly </w:t>
      </w:r>
      <w:r w:rsidR="001C7436">
        <w:rPr>
          <w:szCs w:val="20"/>
          <w:lang w:val="en-GB" w:eastAsia="de-DE"/>
        </w:rPr>
        <w:t xml:space="preserve">office and administration costs, </w:t>
      </w:r>
      <w:r w:rsidRPr="00AA0BA7">
        <w:rPr>
          <w:szCs w:val="20"/>
          <w:lang w:val="en-GB" w:eastAsia="de-DE"/>
        </w:rPr>
        <w:t xml:space="preserve">etc.  </w:t>
      </w:r>
    </w:p>
    <w:p w14:paraId="3D218A95" w14:textId="08B8D3BE" w:rsidR="00AA0BA7" w:rsidRPr="00AA0BA7" w:rsidRDefault="00AA0BA7" w:rsidP="00B96126">
      <w:pPr>
        <w:pStyle w:val="ListParagraph1"/>
        <w:widowControl w:val="0"/>
        <w:numPr>
          <w:ilvl w:val="0"/>
          <w:numId w:val="30"/>
        </w:numPr>
        <w:spacing w:before="40" w:after="40"/>
        <w:ind w:left="165" w:hanging="165"/>
        <w:contextualSpacing w:val="0"/>
        <w:rPr>
          <w:szCs w:val="20"/>
          <w:lang w:val="en-GB" w:eastAsia="de-DE"/>
        </w:rPr>
      </w:pPr>
      <w:r w:rsidRPr="00AA0BA7">
        <w:rPr>
          <w:szCs w:val="20"/>
          <w:lang w:val="en-GB" w:eastAsia="de-DE"/>
        </w:rPr>
        <w:t>Non-statistical sampling is applied, namely</w:t>
      </w:r>
      <w:r w:rsidR="001C7436">
        <w:rPr>
          <w:szCs w:val="20"/>
          <w:lang w:val="en-GB" w:eastAsia="de-DE"/>
        </w:rPr>
        <w:t xml:space="preserve"> a combination of</w:t>
      </w:r>
      <w:r w:rsidR="009B3A8D">
        <w:rPr>
          <w:rStyle w:val="FootnoteReference"/>
          <w:szCs w:val="20"/>
          <w:lang w:val="en-GB" w:eastAsia="de-DE"/>
        </w:rPr>
        <w:footnoteReference w:id="5"/>
      </w:r>
      <w:r w:rsidRPr="00AA0BA7">
        <w:rPr>
          <w:szCs w:val="20"/>
          <w:lang w:val="en-GB" w:eastAsia="de-DE"/>
        </w:rPr>
        <w:t xml:space="preserve">: </w:t>
      </w:r>
    </w:p>
    <w:p w14:paraId="4ACE440E" w14:textId="313D9D12" w:rsidR="00AA0BA7" w:rsidRPr="00AA0BA7" w:rsidRDefault="00AA0BA7" w:rsidP="00B96126">
      <w:pPr>
        <w:pStyle w:val="ListParagraph1"/>
        <w:widowControl w:val="0"/>
        <w:numPr>
          <w:ilvl w:val="1"/>
          <w:numId w:val="30"/>
        </w:numPr>
        <w:spacing w:before="40" w:after="40"/>
        <w:contextualSpacing w:val="0"/>
        <w:rPr>
          <w:szCs w:val="20"/>
          <w:lang w:val="en-GB" w:eastAsia="de-DE"/>
        </w:rPr>
      </w:pPr>
      <w:r w:rsidRPr="00AA0BA7">
        <w:rPr>
          <w:szCs w:val="20"/>
          <w:lang w:val="en-GB" w:eastAsia="de-DE"/>
        </w:rPr>
        <w:t>Key-item sampling</w:t>
      </w:r>
      <w:r w:rsidR="001C7436">
        <w:rPr>
          <w:szCs w:val="20"/>
          <w:lang w:val="en-GB" w:eastAsia="de-DE"/>
        </w:rPr>
        <w:t xml:space="preserve"> (i.e. selection of specific items, see below) </w:t>
      </w:r>
    </w:p>
    <w:p w14:paraId="6727A9FA" w14:textId="03ED08CA" w:rsidR="00AA0BA7" w:rsidRPr="00AA0BA7" w:rsidRDefault="00AA0BA7" w:rsidP="00B96126">
      <w:pPr>
        <w:pStyle w:val="ListParagraph1"/>
        <w:widowControl w:val="0"/>
        <w:numPr>
          <w:ilvl w:val="1"/>
          <w:numId w:val="30"/>
        </w:numPr>
        <w:spacing w:before="40" w:after="40"/>
        <w:contextualSpacing w:val="0"/>
        <w:rPr>
          <w:szCs w:val="20"/>
          <w:lang w:val="en-GB" w:eastAsia="de-DE"/>
        </w:rPr>
      </w:pPr>
      <w:r w:rsidRPr="00AA0BA7">
        <w:rPr>
          <w:szCs w:val="20"/>
          <w:lang w:val="en-GB" w:eastAsia="de-DE"/>
        </w:rPr>
        <w:t>Simple random sampling</w:t>
      </w:r>
      <w:r w:rsidR="001B4C8E">
        <w:rPr>
          <w:szCs w:val="20"/>
          <w:lang w:val="en-GB" w:eastAsia="de-DE"/>
        </w:rPr>
        <w:t xml:space="preserve"> </w:t>
      </w:r>
    </w:p>
    <w:p w14:paraId="77B0BB33" w14:textId="56D71C79" w:rsidR="00AA0BA7" w:rsidRPr="00AA0BA7" w:rsidRDefault="00AA0BA7" w:rsidP="00B96126">
      <w:pPr>
        <w:pStyle w:val="ListParagraph1"/>
        <w:widowControl w:val="0"/>
        <w:numPr>
          <w:ilvl w:val="0"/>
          <w:numId w:val="30"/>
        </w:numPr>
        <w:spacing w:before="120" w:after="40"/>
        <w:ind w:left="164" w:hanging="164"/>
        <w:contextualSpacing w:val="0"/>
        <w:rPr>
          <w:szCs w:val="20"/>
          <w:lang w:val="en-GB" w:eastAsia="de-DE"/>
        </w:rPr>
      </w:pPr>
      <w:r w:rsidRPr="00AA0BA7">
        <w:rPr>
          <w:szCs w:val="20"/>
          <w:lang w:val="en-GB" w:eastAsia="de-DE"/>
        </w:rPr>
        <w:t xml:space="preserve">A 100% </w:t>
      </w:r>
      <w:r w:rsidR="001B4C8E">
        <w:rPr>
          <w:szCs w:val="20"/>
          <w:lang w:val="en-GB" w:eastAsia="de-DE"/>
        </w:rPr>
        <w:t>verification</w:t>
      </w:r>
      <w:r w:rsidRPr="00AA0BA7">
        <w:rPr>
          <w:szCs w:val="20"/>
          <w:lang w:val="en-GB" w:eastAsia="de-DE"/>
        </w:rPr>
        <w:t xml:space="preserve"> is done in case of:</w:t>
      </w:r>
    </w:p>
    <w:p w14:paraId="520A9C7F" w14:textId="358C5AC6" w:rsidR="00AA0BA7" w:rsidRPr="00AA0BA7" w:rsidRDefault="001B4C8E" w:rsidP="00B96126">
      <w:pPr>
        <w:pStyle w:val="ListParagraph1"/>
        <w:widowControl w:val="0"/>
        <w:numPr>
          <w:ilvl w:val="1"/>
          <w:numId w:val="30"/>
        </w:numPr>
        <w:spacing w:before="40" w:after="40"/>
        <w:contextualSpacing w:val="0"/>
        <w:rPr>
          <w:szCs w:val="20"/>
          <w:lang w:val="en-GB" w:eastAsia="de-DE"/>
        </w:rPr>
      </w:pPr>
      <w:r>
        <w:rPr>
          <w:szCs w:val="20"/>
          <w:lang w:val="en-GB" w:eastAsia="de-DE"/>
        </w:rPr>
        <w:t>The first r</w:t>
      </w:r>
      <w:r w:rsidR="00AA0BA7" w:rsidRPr="00AA0BA7">
        <w:rPr>
          <w:szCs w:val="20"/>
          <w:lang w:val="en-GB" w:eastAsia="de-DE"/>
        </w:rPr>
        <w:t>eport</w:t>
      </w:r>
    </w:p>
    <w:p w14:paraId="7C228F79" w14:textId="2BDD16F8" w:rsidR="00AA0BA7" w:rsidRPr="00AA0BA7" w:rsidRDefault="001B4C8E" w:rsidP="00B96126">
      <w:pPr>
        <w:pStyle w:val="ListParagraph1"/>
        <w:widowControl w:val="0"/>
        <w:numPr>
          <w:ilvl w:val="1"/>
          <w:numId w:val="30"/>
        </w:numPr>
        <w:spacing w:before="40" w:after="40"/>
        <w:contextualSpacing w:val="0"/>
        <w:rPr>
          <w:szCs w:val="20"/>
          <w:lang w:val="en-GB" w:eastAsia="de-DE"/>
        </w:rPr>
      </w:pPr>
      <w:r>
        <w:rPr>
          <w:szCs w:val="20"/>
          <w:lang w:val="en-GB" w:eastAsia="de-DE"/>
        </w:rPr>
        <w:t>Public p</w:t>
      </w:r>
      <w:r w:rsidR="00AA0BA7" w:rsidRPr="00AA0BA7">
        <w:rPr>
          <w:szCs w:val="20"/>
          <w:lang w:val="en-GB" w:eastAsia="de-DE"/>
        </w:rPr>
        <w:t>rocurements</w:t>
      </w:r>
      <w:r w:rsidR="009B3A8D">
        <w:rPr>
          <w:rStyle w:val="FootnoteReference"/>
          <w:szCs w:val="20"/>
          <w:lang w:val="en-GB" w:eastAsia="de-DE"/>
        </w:rPr>
        <w:footnoteReference w:id="6"/>
      </w:r>
    </w:p>
    <w:p w14:paraId="54E6FEE8" w14:textId="5401F3B8" w:rsidR="00AA0BA7" w:rsidRPr="00AA0BA7" w:rsidRDefault="00AA0BA7" w:rsidP="00B96126">
      <w:pPr>
        <w:pStyle w:val="ListParagraph1"/>
        <w:widowControl w:val="0"/>
        <w:numPr>
          <w:ilvl w:val="1"/>
          <w:numId w:val="30"/>
        </w:numPr>
        <w:spacing w:before="40" w:after="40"/>
        <w:contextualSpacing w:val="0"/>
        <w:rPr>
          <w:szCs w:val="20"/>
          <w:lang w:val="en-GB" w:eastAsia="de-DE"/>
        </w:rPr>
      </w:pPr>
      <w:r w:rsidRPr="00AA0BA7">
        <w:rPr>
          <w:szCs w:val="20"/>
          <w:lang w:val="en-GB" w:eastAsia="de-DE"/>
        </w:rPr>
        <w:t>General controls on the List of Expenditures (</w:t>
      </w:r>
      <w:r w:rsidR="001B4C8E">
        <w:rPr>
          <w:szCs w:val="20"/>
          <w:lang w:val="en-GB" w:eastAsia="de-DE"/>
        </w:rPr>
        <w:t xml:space="preserve">see </w:t>
      </w:r>
      <w:r w:rsidR="001B4C8E" w:rsidRPr="001B4C8E">
        <w:rPr>
          <w:i/>
          <w:szCs w:val="20"/>
          <w:lang w:val="en-GB" w:eastAsia="de-DE"/>
        </w:rPr>
        <w:t>Audit trail checklist - List of Expenditure</w:t>
      </w:r>
      <w:r w:rsidRPr="00AA0BA7">
        <w:rPr>
          <w:szCs w:val="20"/>
          <w:lang w:val="en-GB" w:eastAsia="de-DE"/>
        </w:rPr>
        <w:t xml:space="preserve"> </w:t>
      </w:r>
      <w:r w:rsidR="001B4C8E">
        <w:rPr>
          <w:szCs w:val="20"/>
          <w:lang w:val="en-GB" w:eastAsia="de-DE"/>
        </w:rPr>
        <w:t xml:space="preserve">of the </w:t>
      </w:r>
      <w:r w:rsidRPr="00AA0BA7">
        <w:rPr>
          <w:szCs w:val="20"/>
          <w:lang w:val="en-GB" w:eastAsia="de-DE"/>
        </w:rPr>
        <w:t xml:space="preserve">FLC checklist) </w:t>
      </w:r>
    </w:p>
    <w:p w14:paraId="3CCDDE20" w14:textId="427BC89A" w:rsidR="00AA0BA7" w:rsidRPr="001540C6" w:rsidRDefault="00AA0BA7" w:rsidP="00B96126">
      <w:pPr>
        <w:pStyle w:val="ListParagraph1"/>
        <w:widowControl w:val="0"/>
        <w:numPr>
          <w:ilvl w:val="1"/>
          <w:numId w:val="30"/>
        </w:numPr>
        <w:spacing w:before="40" w:after="40"/>
        <w:contextualSpacing w:val="0"/>
        <w:rPr>
          <w:szCs w:val="20"/>
          <w:lang w:val="en-GB" w:eastAsia="de-DE"/>
        </w:rPr>
      </w:pPr>
      <w:r w:rsidRPr="001540C6">
        <w:rPr>
          <w:lang w:val="en-GB"/>
        </w:rPr>
        <w:t xml:space="preserve">Budget lines, where a high risk was identified in the </w:t>
      </w:r>
      <w:r w:rsidRPr="001540C6">
        <w:rPr>
          <w:u w:val="single"/>
          <w:lang w:val="en-GB"/>
        </w:rPr>
        <w:t>previous report</w:t>
      </w:r>
      <w:r w:rsidRPr="001540C6">
        <w:rPr>
          <w:lang w:val="en-GB"/>
        </w:rPr>
        <w:t xml:space="preserve">(s): i.e. less than 98% of the total </w:t>
      </w:r>
      <w:r w:rsidR="001540C6">
        <w:rPr>
          <w:lang w:val="en-GB"/>
        </w:rPr>
        <w:t xml:space="preserve">amount declared </w:t>
      </w:r>
      <w:r w:rsidRPr="001540C6">
        <w:rPr>
          <w:lang w:val="en-GB"/>
        </w:rPr>
        <w:t>in this budget line w</w:t>
      </w:r>
      <w:r w:rsidR="001540C6">
        <w:rPr>
          <w:lang w:val="en-GB"/>
        </w:rPr>
        <w:t xml:space="preserve">as </w:t>
      </w:r>
      <w:r w:rsidRPr="001540C6">
        <w:rPr>
          <w:lang w:val="en-GB"/>
        </w:rPr>
        <w:t xml:space="preserve">found eligible AND errors were NOT well defined or confined and could NOT be </w:t>
      </w:r>
      <w:r w:rsidR="001540C6">
        <w:rPr>
          <w:lang w:val="en-GB"/>
        </w:rPr>
        <w:t xml:space="preserve">sufficiently addressed by the project partner during clarifications. </w:t>
      </w:r>
    </w:p>
    <w:p w14:paraId="40CF5548" w14:textId="77777777" w:rsidR="00AA0BA7" w:rsidRPr="00AA0BA7" w:rsidRDefault="00AA0BA7" w:rsidP="00B96126">
      <w:pPr>
        <w:pStyle w:val="ListParagraph1"/>
        <w:widowControl w:val="0"/>
        <w:numPr>
          <w:ilvl w:val="1"/>
          <w:numId w:val="30"/>
        </w:numPr>
        <w:spacing w:before="40" w:after="40"/>
        <w:contextualSpacing w:val="0"/>
        <w:rPr>
          <w:szCs w:val="20"/>
          <w:lang w:val="en-GB" w:eastAsia="de-DE"/>
        </w:rPr>
      </w:pPr>
      <w:r w:rsidRPr="00AA0BA7">
        <w:rPr>
          <w:szCs w:val="20"/>
          <w:lang w:val="en-GB" w:eastAsia="de-DE"/>
        </w:rPr>
        <w:t>Simplified cost options</w:t>
      </w:r>
    </w:p>
    <w:p w14:paraId="521ED7FC" w14:textId="77777777" w:rsidR="00AA0BA7" w:rsidRPr="00AA0BA7" w:rsidRDefault="00AA0BA7" w:rsidP="00B96126">
      <w:pPr>
        <w:pStyle w:val="ListParagraph1"/>
        <w:widowControl w:val="0"/>
        <w:numPr>
          <w:ilvl w:val="1"/>
          <w:numId w:val="30"/>
        </w:numPr>
        <w:spacing w:before="40" w:after="40"/>
        <w:contextualSpacing w:val="0"/>
        <w:rPr>
          <w:szCs w:val="20"/>
          <w:lang w:val="en-GB" w:eastAsia="de-DE"/>
        </w:rPr>
      </w:pPr>
      <w:r w:rsidRPr="00AA0BA7">
        <w:rPr>
          <w:lang w:val="en-GB"/>
        </w:rPr>
        <w:t>Unusual or suspicious items</w:t>
      </w:r>
    </w:p>
    <w:p w14:paraId="0450B77E" w14:textId="2B9AA2E7" w:rsidR="00AA0BA7" w:rsidRPr="00AA0BA7" w:rsidRDefault="00AA0BA7" w:rsidP="00B96126">
      <w:pPr>
        <w:pStyle w:val="ListParagraph1"/>
        <w:widowControl w:val="0"/>
        <w:numPr>
          <w:ilvl w:val="1"/>
          <w:numId w:val="30"/>
        </w:numPr>
        <w:spacing w:before="40" w:after="40"/>
        <w:contextualSpacing w:val="0"/>
        <w:rPr>
          <w:szCs w:val="20"/>
          <w:lang w:val="en-GB" w:eastAsia="de-DE"/>
        </w:rPr>
      </w:pPr>
      <w:r w:rsidRPr="00AA0BA7">
        <w:rPr>
          <w:lang w:val="en-GB"/>
        </w:rPr>
        <w:t xml:space="preserve">Items of significant value (i.e. those above 10% of the total </w:t>
      </w:r>
      <w:r w:rsidR="00C265CF">
        <w:rPr>
          <w:lang w:val="en-GB"/>
        </w:rPr>
        <w:t>costs declared under the cost category in this reporting period</w:t>
      </w:r>
      <w:r w:rsidRPr="00AA0BA7">
        <w:rPr>
          <w:lang w:val="en-GB"/>
        </w:rPr>
        <w:t>)</w:t>
      </w:r>
    </w:p>
    <w:p w14:paraId="279C0131" w14:textId="4C9D09DD" w:rsidR="00AA0BA7" w:rsidRPr="00AA0BA7" w:rsidRDefault="00AA0BA7" w:rsidP="00B96126">
      <w:pPr>
        <w:pStyle w:val="ListParagraph1"/>
        <w:widowControl w:val="0"/>
        <w:numPr>
          <w:ilvl w:val="0"/>
          <w:numId w:val="30"/>
        </w:numPr>
        <w:spacing w:before="40" w:after="40"/>
        <w:ind w:left="164" w:hanging="164"/>
        <w:contextualSpacing w:val="0"/>
        <w:rPr>
          <w:szCs w:val="20"/>
          <w:lang w:val="en-GB" w:eastAsia="de-DE"/>
        </w:rPr>
      </w:pPr>
      <w:r w:rsidRPr="00AA0BA7">
        <w:rPr>
          <w:szCs w:val="20"/>
          <w:lang w:val="en-GB" w:eastAsia="de-DE"/>
        </w:rPr>
        <w:t xml:space="preserve">The minimum sample size </w:t>
      </w:r>
      <w:r w:rsidR="00C265CF">
        <w:rPr>
          <w:szCs w:val="20"/>
          <w:lang w:val="en-GB" w:eastAsia="de-DE"/>
        </w:rPr>
        <w:t xml:space="preserve">for random sampling per cost category </w:t>
      </w:r>
      <w:r w:rsidRPr="00AA0BA7">
        <w:rPr>
          <w:szCs w:val="20"/>
          <w:lang w:val="en-GB" w:eastAsia="de-DE"/>
        </w:rPr>
        <w:t>is at least 10%</w:t>
      </w:r>
      <w:r w:rsidR="009B3A8D">
        <w:rPr>
          <w:rStyle w:val="FootnoteReference"/>
          <w:szCs w:val="20"/>
          <w:lang w:val="en-GB" w:eastAsia="de-DE"/>
        </w:rPr>
        <w:footnoteReference w:id="7"/>
      </w:r>
      <w:r w:rsidRPr="00AA0BA7">
        <w:rPr>
          <w:szCs w:val="20"/>
          <w:lang w:val="en-GB" w:eastAsia="de-DE"/>
        </w:rPr>
        <w:t xml:space="preserve">of the </w:t>
      </w:r>
      <w:r w:rsidR="00C265CF">
        <w:rPr>
          <w:lang w:val="en-GB"/>
        </w:rPr>
        <w:t>costs declared under each cost category in this reporting period</w:t>
      </w:r>
      <w:r w:rsidR="00C265CF" w:rsidRPr="00AA0BA7">
        <w:rPr>
          <w:szCs w:val="20"/>
          <w:lang w:val="en-GB" w:eastAsia="de-DE"/>
        </w:rPr>
        <w:t xml:space="preserve"> </w:t>
      </w:r>
      <w:r w:rsidRPr="00AA0BA7">
        <w:rPr>
          <w:szCs w:val="20"/>
          <w:lang w:val="en-GB" w:eastAsia="de-DE"/>
        </w:rPr>
        <w:t xml:space="preserve">AND at least 2 items. Should items exist that </w:t>
      </w:r>
      <w:r w:rsidR="00C265CF">
        <w:rPr>
          <w:szCs w:val="20"/>
          <w:lang w:val="en-GB" w:eastAsia="de-DE"/>
        </w:rPr>
        <w:t xml:space="preserve">are unusual or suspicious or </w:t>
      </w:r>
      <w:r w:rsidR="009B6D3A">
        <w:rPr>
          <w:szCs w:val="20"/>
          <w:lang w:val="en-GB" w:eastAsia="de-DE"/>
        </w:rPr>
        <w:t>exceed 25</w:t>
      </w:r>
      <w:r w:rsidRPr="00AA0BA7">
        <w:rPr>
          <w:szCs w:val="20"/>
          <w:lang w:val="en-GB" w:eastAsia="de-DE"/>
        </w:rPr>
        <w:t>%</w:t>
      </w:r>
      <w:r w:rsidR="009B3A8D">
        <w:rPr>
          <w:rStyle w:val="FootnoteReference"/>
          <w:szCs w:val="20"/>
          <w:lang w:val="en-GB" w:eastAsia="de-DE"/>
        </w:rPr>
        <w:footnoteReference w:id="8"/>
      </w:r>
      <w:r w:rsidRPr="00AA0BA7">
        <w:rPr>
          <w:szCs w:val="20"/>
          <w:lang w:val="en-GB" w:eastAsia="de-DE"/>
        </w:rPr>
        <w:t xml:space="preserve"> </w:t>
      </w:r>
      <w:r w:rsidR="00C265CF">
        <w:rPr>
          <w:szCs w:val="20"/>
          <w:lang w:val="en-GB" w:eastAsia="de-DE"/>
        </w:rPr>
        <w:t xml:space="preserve">of the </w:t>
      </w:r>
      <w:r w:rsidR="00C265CF" w:rsidRPr="00AA0BA7">
        <w:rPr>
          <w:lang w:val="en-GB"/>
        </w:rPr>
        <w:t xml:space="preserve">total </w:t>
      </w:r>
      <w:r w:rsidR="00C265CF">
        <w:rPr>
          <w:lang w:val="en-GB"/>
        </w:rPr>
        <w:t xml:space="preserve">costs declared under the cost category in this reporting period, </w:t>
      </w:r>
      <w:r w:rsidRPr="00AA0BA7">
        <w:rPr>
          <w:szCs w:val="20"/>
          <w:lang w:val="en-GB" w:eastAsia="de-DE"/>
        </w:rPr>
        <w:t xml:space="preserve">they are additionally included in the sample. </w:t>
      </w:r>
    </w:p>
    <w:p w14:paraId="7C0DDF27" w14:textId="068A493E" w:rsidR="00C265CF" w:rsidRDefault="00AA0BA7" w:rsidP="00B96126">
      <w:pPr>
        <w:pStyle w:val="ListParagraph1"/>
        <w:widowControl w:val="0"/>
        <w:numPr>
          <w:ilvl w:val="0"/>
          <w:numId w:val="30"/>
        </w:numPr>
        <w:spacing w:before="40" w:after="40"/>
        <w:ind w:left="164" w:hanging="164"/>
        <w:contextualSpacing w:val="0"/>
        <w:rPr>
          <w:szCs w:val="20"/>
          <w:lang w:val="en-GB" w:eastAsia="de-DE"/>
        </w:rPr>
      </w:pPr>
      <w:r w:rsidRPr="00AA0BA7">
        <w:rPr>
          <w:szCs w:val="20"/>
          <w:lang w:val="en-GB" w:eastAsia="de-DE"/>
        </w:rPr>
        <w:t xml:space="preserve">If the initial 10% sample shows that the quality of the information provided is not as good as expected, the sample size is extended. </w:t>
      </w:r>
      <w:r w:rsidR="00C265CF">
        <w:rPr>
          <w:szCs w:val="20"/>
          <w:lang w:val="en-GB" w:eastAsia="de-DE"/>
        </w:rPr>
        <w:t>The purpose of extending the sample is to determine whether or not errors have a common feature (e.g. type of transaction, location,</w:t>
      </w:r>
      <w:r w:rsidR="00E045FB">
        <w:rPr>
          <w:szCs w:val="20"/>
          <w:lang w:val="en-GB" w:eastAsia="de-DE"/>
        </w:rPr>
        <w:t xml:space="preserve"> period of time, product/output</w:t>
      </w:r>
      <w:r w:rsidR="009B3A8D">
        <w:rPr>
          <w:rStyle w:val="FootnoteReference"/>
          <w:szCs w:val="20"/>
          <w:lang w:val="en-GB" w:eastAsia="de-DE"/>
        </w:rPr>
        <w:footnoteReference w:id="9"/>
      </w:r>
      <w:r w:rsidR="00E045FB">
        <w:rPr>
          <w:szCs w:val="20"/>
          <w:lang w:val="en-GB" w:eastAsia="de-DE"/>
        </w:rPr>
        <w:t xml:space="preserve">, </w:t>
      </w:r>
      <w:r w:rsidR="00C265CF">
        <w:rPr>
          <w:szCs w:val="20"/>
          <w:lang w:val="en-GB" w:eastAsia="de-DE"/>
        </w:rPr>
        <w:t xml:space="preserve">name of employee, etc.). </w:t>
      </w:r>
    </w:p>
    <w:p w14:paraId="3F1A7498" w14:textId="77777777" w:rsidR="003B6918" w:rsidRDefault="00C265CF" w:rsidP="00B96126">
      <w:pPr>
        <w:pStyle w:val="ListParagraph1"/>
        <w:widowControl w:val="0"/>
        <w:numPr>
          <w:ilvl w:val="0"/>
          <w:numId w:val="30"/>
        </w:numPr>
        <w:spacing w:before="40" w:after="40"/>
        <w:ind w:left="164" w:hanging="164"/>
        <w:contextualSpacing w:val="0"/>
        <w:rPr>
          <w:szCs w:val="20"/>
          <w:lang w:val="en-GB" w:eastAsia="de-DE"/>
        </w:rPr>
      </w:pPr>
      <w:r>
        <w:rPr>
          <w:szCs w:val="20"/>
          <w:lang w:val="en-GB" w:eastAsia="de-DE"/>
        </w:rPr>
        <w:t>In case no common features can be determined, the sample is extended to 100%</w:t>
      </w:r>
      <w:r w:rsidR="003B6918">
        <w:rPr>
          <w:szCs w:val="20"/>
          <w:lang w:val="en-GB" w:eastAsia="de-DE"/>
        </w:rPr>
        <w:t xml:space="preserve"> payment claim</w:t>
      </w:r>
      <w:r>
        <w:rPr>
          <w:szCs w:val="20"/>
          <w:lang w:val="en-GB" w:eastAsia="de-DE"/>
        </w:rPr>
        <w:t xml:space="preserve">. </w:t>
      </w:r>
    </w:p>
    <w:p w14:paraId="26E672EB" w14:textId="41BD07EC" w:rsidR="003B6918" w:rsidRPr="003B6918" w:rsidRDefault="00C265CF" w:rsidP="003B6918">
      <w:pPr>
        <w:pStyle w:val="ListParagraph1"/>
        <w:keepNext/>
        <w:keepLines/>
        <w:numPr>
          <w:ilvl w:val="0"/>
          <w:numId w:val="30"/>
        </w:numPr>
        <w:spacing w:before="40" w:after="40"/>
        <w:ind w:left="164" w:hanging="164"/>
        <w:contextualSpacing w:val="0"/>
        <w:rPr>
          <w:rStyle w:val="Corpsdutexte"/>
          <w:sz w:val="20"/>
          <w:szCs w:val="20"/>
          <w:shd w:val="clear" w:color="auto" w:fill="auto"/>
          <w:lang w:val="en-GB" w:eastAsia="de-DE"/>
        </w:rPr>
      </w:pPr>
      <w:r w:rsidRPr="003B6918">
        <w:rPr>
          <w:szCs w:val="20"/>
          <w:lang w:val="en-GB" w:eastAsia="de-DE"/>
        </w:rPr>
        <w:t xml:space="preserve">In case common features can be determined, </w:t>
      </w:r>
      <w:r w:rsidR="003B6918" w:rsidRPr="00AA0BA7">
        <w:rPr>
          <w:szCs w:val="20"/>
          <w:lang w:val="en-GB" w:eastAsia="de-DE"/>
        </w:rPr>
        <w:t xml:space="preserve">the </w:t>
      </w:r>
      <w:r w:rsidR="003B6918">
        <w:rPr>
          <w:szCs w:val="20"/>
          <w:lang w:val="en-GB" w:eastAsia="de-DE"/>
        </w:rPr>
        <w:t xml:space="preserve">total error can be </w:t>
      </w:r>
      <w:r w:rsidR="003B6918" w:rsidRPr="00AA0BA7">
        <w:rPr>
          <w:szCs w:val="20"/>
          <w:lang w:val="en-GB" w:eastAsia="de-DE"/>
        </w:rPr>
        <w:t xml:space="preserve">determined by </w:t>
      </w:r>
      <w:r w:rsidR="001810B3">
        <w:rPr>
          <w:szCs w:val="20"/>
          <w:lang w:val="en-GB" w:eastAsia="de-DE"/>
        </w:rPr>
        <w:t xml:space="preserve">verifying </w:t>
      </w:r>
      <w:r w:rsidR="003B6918" w:rsidRPr="00AA0BA7">
        <w:rPr>
          <w:szCs w:val="20"/>
          <w:lang w:val="en-GB" w:eastAsia="de-DE"/>
        </w:rPr>
        <w:t xml:space="preserve">all relevant items (i.e. those likely to be affected by the same/similar error). </w:t>
      </w:r>
      <w:r w:rsidR="003B6918">
        <w:rPr>
          <w:szCs w:val="20"/>
          <w:lang w:val="en-GB" w:eastAsia="de-DE"/>
        </w:rPr>
        <w:t xml:space="preserve">Alternatively, </w:t>
      </w:r>
      <w:r w:rsidR="003B6918" w:rsidRPr="003B6918">
        <w:rPr>
          <w:szCs w:val="20"/>
          <w:lang w:val="en-GB" w:eastAsia="de-DE"/>
        </w:rPr>
        <w:t xml:space="preserve">controllers </w:t>
      </w:r>
      <w:r w:rsidR="003B6918">
        <w:rPr>
          <w:szCs w:val="20"/>
          <w:lang w:val="en-GB" w:eastAsia="de-DE"/>
        </w:rPr>
        <w:t>can</w:t>
      </w:r>
      <w:r w:rsidR="003B6918" w:rsidRPr="003B6918">
        <w:rPr>
          <w:szCs w:val="20"/>
          <w:lang w:val="en-GB" w:eastAsia="de-DE"/>
        </w:rPr>
        <w:t xml:space="preserve"> project the error in the sample to the unchecked population</w:t>
      </w:r>
      <w:r w:rsidR="003B6918">
        <w:rPr>
          <w:szCs w:val="20"/>
          <w:lang w:val="en-GB" w:eastAsia="de-DE"/>
        </w:rPr>
        <w:t xml:space="preserve"> based on a fair and transparent method.</w:t>
      </w:r>
      <w:r w:rsidR="009B3A8D">
        <w:rPr>
          <w:rStyle w:val="FootnoteReference"/>
          <w:szCs w:val="20"/>
          <w:lang w:val="en-GB" w:eastAsia="de-DE"/>
        </w:rPr>
        <w:footnoteReference w:id="10"/>
      </w:r>
      <w:r w:rsidR="003B6918">
        <w:rPr>
          <w:szCs w:val="20"/>
          <w:lang w:val="en-GB" w:eastAsia="de-DE"/>
        </w:rPr>
        <w:t xml:space="preserve"> </w:t>
      </w:r>
    </w:p>
    <w:sectPr w:rsidR="003B6918" w:rsidRPr="003B6918" w:rsidSect="00DD549A">
      <w:pgSz w:w="11906" w:h="16838"/>
      <w:pgMar w:top="86" w:right="851" w:bottom="680" w:left="85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5AB84" w14:textId="77777777" w:rsidR="00504594" w:rsidRDefault="00504594">
      <w:r>
        <w:separator/>
      </w:r>
    </w:p>
  </w:endnote>
  <w:endnote w:type="continuationSeparator" w:id="0">
    <w:p w14:paraId="599ECAAA" w14:textId="77777777" w:rsidR="00504594" w:rsidRDefault="00504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Bold">
    <w:altName w:val="Trebuchet MS"/>
    <w:charset w:val="00"/>
    <w:family w:val="auto"/>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E580A" w14:textId="7419F50C" w:rsidR="00171FAA" w:rsidRPr="00171FAA" w:rsidRDefault="00171FAA" w:rsidP="00171FAA">
    <w:pPr>
      <w:pStyle w:val="Footer"/>
    </w:pPr>
    <w:r w:rsidRPr="00EE7687">
      <w:rPr>
        <w:rFonts w:ascii="Trebuchet MS" w:hAnsi="Trebuchet MS"/>
        <w:color w:val="003777"/>
        <w:sz w:val="12"/>
      </w:rPr>
      <w:t xml:space="preserve">INTERACT is co-financed by the European </w:t>
    </w:r>
    <w:r>
      <w:rPr>
        <w:rFonts w:ascii="Trebuchet MS" w:hAnsi="Trebuchet MS"/>
        <w:color w:val="003777"/>
        <w:sz w:val="12"/>
      </w:rPr>
      <w:t>Reg</w:t>
    </w:r>
    <w:r w:rsidRPr="00EE7687">
      <w:rPr>
        <w:rFonts w:ascii="Trebuchet MS" w:hAnsi="Trebuchet MS"/>
        <w:color w:val="003777"/>
        <w:sz w:val="12"/>
      </w:rPr>
      <w:t>ional Development Fund (ERDF</w:t>
    </w:r>
    <w:r>
      <w:rPr>
        <w:rFonts w:ascii="Trebuchet MS" w:hAnsi="Trebuchet MS"/>
        <w:color w:val="003777"/>
        <w:sz w:val="1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CD266" w14:textId="22DACD7D" w:rsidR="00171FAA" w:rsidRDefault="00171FAA">
    <w:pPr>
      <w:pStyle w:val="Footer"/>
    </w:pPr>
    <w:r w:rsidRPr="00EE7687">
      <w:rPr>
        <w:rFonts w:ascii="Trebuchet MS" w:hAnsi="Trebuchet MS"/>
        <w:color w:val="003777"/>
        <w:sz w:val="12"/>
      </w:rPr>
      <w:t xml:space="preserve">INTERACT is co-financed by the European </w:t>
    </w:r>
    <w:r>
      <w:rPr>
        <w:rFonts w:ascii="Trebuchet MS" w:hAnsi="Trebuchet MS"/>
        <w:color w:val="003777"/>
        <w:sz w:val="12"/>
      </w:rPr>
      <w:t>Reg</w:t>
    </w:r>
    <w:r w:rsidRPr="00EE7687">
      <w:rPr>
        <w:rFonts w:ascii="Trebuchet MS" w:hAnsi="Trebuchet MS"/>
        <w:color w:val="003777"/>
        <w:sz w:val="12"/>
      </w:rPr>
      <w:t>ional Development Fund (ERDF</w:t>
    </w:r>
    <w:r>
      <w:rPr>
        <w:rFonts w:ascii="Trebuchet MS" w:hAnsi="Trebuchet MS"/>
        <w:color w:val="003777"/>
        <w:sz w:val="1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42564" w14:textId="738B3F26" w:rsidR="00171FAA" w:rsidRDefault="00171FAA" w:rsidP="00171FAA">
    <w:pPr>
      <w:pStyle w:val="Footer"/>
      <w:ind w:right="360"/>
    </w:pPr>
    <w:r w:rsidRPr="00EE7687">
      <w:rPr>
        <w:rFonts w:ascii="Trebuchet MS" w:hAnsi="Trebuchet MS"/>
        <w:color w:val="003777"/>
        <w:sz w:val="12"/>
      </w:rPr>
      <w:t xml:space="preserve">INTERACT is co-financed by the European </w:t>
    </w:r>
    <w:r>
      <w:rPr>
        <w:rFonts w:ascii="Trebuchet MS" w:hAnsi="Trebuchet MS"/>
        <w:color w:val="003777"/>
        <w:sz w:val="12"/>
      </w:rPr>
      <w:t>Reg</w:t>
    </w:r>
    <w:r w:rsidRPr="00EE7687">
      <w:rPr>
        <w:rFonts w:ascii="Trebuchet MS" w:hAnsi="Trebuchet MS"/>
        <w:color w:val="003777"/>
        <w:sz w:val="12"/>
      </w:rPr>
      <w:t>ional Development Fund (ERDF</w:t>
    </w:r>
    <w:r>
      <w:rPr>
        <w:rFonts w:ascii="Trebuchet MS" w:hAnsi="Trebuchet MS"/>
        <w:color w:val="003777"/>
        <w:sz w:val="12"/>
      </w:rPr>
      <w:t>)</w:t>
    </w:r>
    <w:r w:rsidRPr="00F33434">
      <w:rPr>
        <w:rFonts w:ascii="Trebuchet MS" w:hAnsi="Trebuchet MS"/>
        <w:color w:val="003777"/>
        <w:sz w:val="12"/>
      </w:rPr>
      <w:t xml:space="preserve">        </w:t>
    </w:r>
    <w:r>
      <w:rPr>
        <w:rFonts w:ascii="Trebuchet MS" w:hAnsi="Trebuchet MS"/>
        <w:color w:val="003777"/>
        <w:sz w:val="12"/>
      </w:rPr>
      <w:tab/>
      <w:t xml:space="preserve">                                                                                                                        </w:t>
    </w:r>
  </w:p>
  <w:p w14:paraId="58D69301" w14:textId="58D1EDBF" w:rsidR="00F668CF" w:rsidRPr="00171FAA" w:rsidRDefault="00D66F6E" w:rsidP="00171F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B0856" w14:textId="77777777" w:rsidR="00504594" w:rsidRDefault="00504594">
      <w:r>
        <w:separator/>
      </w:r>
    </w:p>
  </w:footnote>
  <w:footnote w:type="continuationSeparator" w:id="0">
    <w:p w14:paraId="4A287213" w14:textId="77777777" w:rsidR="00504594" w:rsidRDefault="00504594">
      <w:r>
        <w:continuationSeparator/>
      </w:r>
    </w:p>
  </w:footnote>
  <w:footnote w:id="1">
    <w:p w14:paraId="29459988" w14:textId="3A84E6A3" w:rsidR="00504594" w:rsidRPr="00D66F6E" w:rsidRDefault="00504594" w:rsidP="009F25AF">
      <w:pPr>
        <w:pStyle w:val="Akapitzlist"/>
        <w:keepNext/>
        <w:keepLines/>
        <w:spacing w:before="40" w:after="40"/>
        <w:ind w:left="0"/>
        <w:contextualSpacing w:val="0"/>
        <w:rPr>
          <w:sz w:val="16"/>
          <w:szCs w:val="16"/>
          <w:lang w:val="en-GB"/>
        </w:rPr>
      </w:pPr>
      <w:r w:rsidRPr="00D66F6E">
        <w:rPr>
          <w:rStyle w:val="FootnoteReference"/>
          <w:sz w:val="16"/>
          <w:szCs w:val="16"/>
        </w:rPr>
        <w:footnoteRef/>
      </w:r>
      <w:r w:rsidRPr="00D66F6E">
        <w:rPr>
          <w:sz w:val="16"/>
          <w:szCs w:val="16"/>
          <w:lang w:val="en-US"/>
        </w:rPr>
        <w:t xml:space="preserve"> </w:t>
      </w:r>
      <w:r w:rsidRPr="00D66F6E">
        <w:rPr>
          <w:b/>
          <w:sz w:val="16"/>
          <w:szCs w:val="16"/>
          <w:lang w:val="en-GB"/>
        </w:rPr>
        <w:t>Good</w:t>
      </w:r>
      <w:r w:rsidRPr="00D66F6E">
        <w:rPr>
          <w:sz w:val="16"/>
          <w:szCs w:val="16"/>
          <w:lang w:val="en-GB"/>
        </w:rPr>
        <w:t xml:space="preserve"> according to the methodology used. E.g., more than 98% of the total </w:t>
      </w:r>
      <w:r w:rsidR="001B4C8E" w:rsidRPr="00D66F6E">
        <w:rPr>
          <w:sz w:val="16"/>
          <w:szCs w:val="16"/>
          <w:lang w:val="en-GB"/>
        </w:rPr>
        <w:t>declared amount</w:t>
      </w:r>
      <w:r w:rsidRPr="00D66F6E">
        <w:rPr>
          <w:sz w:val="16"/>
          <w:szCs w:val="16"/>
          <w:lang w:val="en-GB"/>
        </w:rPr>
        <w:t xml:space="preserve"> was found eligible. </w:t>
      </w:r>
    </w:p>
  </w:footnote>
  <w:footnote w:id="2">
    <w:p w14:paraId="6E1FC946" w14:textId="439769B1" w:rsidR="00504594" w:rsidRPr="00D66F6E" w:rsidRDefault="00504594" w:rsidP="009F25AF">
      <w:pPr>
        <w:pStyle w:val="Akapitzlist"/>
        <w:keepNext/>
        <w:keepLines/>
        <w:spacing w:before="40" w:after="40"/>
        <w:ind w:left="0"/>
        <w:rPr>
          <w:sz w:val="16"/>
          <w:szCs w:val="16"/>
          <w:lang w:val="en-GB"/>
        </w:rPr>
      </w:pPr>
      <w:r w:rsidRPr="00D66F6E">
        <w:rPr>
          <w:rStyle w:val="FootnoteReference"/>
          <w:sz w:val="16"/>
          <w:szCs w:val="16"/>
        </w:rPr>
        <w:footnoteRef/>
      </w:r>
      <w:r w:rsidRPr="00D66F6E">
        <w:rPr>
          <w:sz w:val="16"/>
          <w:szCs w:val="16"/>
          <w:lang w:val="en-US"/>
        </w:rPr>
        <w:t xml:space="preserve"> </w:t>
      </w:r>
      <w:r w:rsidRPr="00D66F6E">
        <w:rPr>
          <w:b/>
          <w:sz w:val="16"/>
          <w:szCs w:val="16"/>
          <w:lang w:val="en-GB"/>
        </w:rPr>
        <w:t xml:space="preserve">Medium </w:t>
      </w:r>
      <w:r w:rsidRPr="00D66F6E">
        <w:rPr>
          <w:sz w:val="16"/>
          <w:szCs w:val="16"/>
          <w:lang w:val="en-GB"/>
        </w:rPr>
        <w:t xml:space="preserve">according to the methodology used. E.g., less than 98% was found eligible but the error(s) were well defined and confined and </w:t>
      </w:r>
      <w:r w:rsidR="001B4C8E" w:rsidRPr="00D66F6E">
        <w:rPr>
          <w:sz w:val="16"/>
          <w:szCs w:val="16"/>
          <w:lang w:val="en-GB"/>
        </w:rPr>
        <w:t>were</w:t>
      </w:r>
      <w:r w:rsidRPr="00D66F6E">
        <w:rPr>
          <w:sz w:val="16"/>
          <w:szCs w:val="16"/>
          <w:lang w:val="en-GB"/>
        </w:rPr>
        <w:t xml:space="preserve"> </w:t>
      </w:r>
      <w:r w:rsidR="001B4C8E" w:rsidRPr="00D66F6E">
        <w:rPr>
          <w:sz w:val="16"/>
          <w:szCs w:val="16"/>
          <w:lang w:val="en-GB"/>
        </w:rPr>
        <w:t>addressed by the project partner in clarification rounds</w:t>
      </w:r>
      <w:r w:rsidRPr="00D66F6E">
        <w:rPr>
          <w:sz w:val="16"/>
          <w:szCs w:val="16"/>
          <w:lang w:val="en-GB"/>
        </w:rPr>
        <w:t>.</w:t>
      </w:r>
      <w:r w:rsidRPr="00D66F6E">
        <w:rPr>
          <w:i/>
          <w:sz w:val="16"/>
          <w:szCs w:val="16"/>
          <w:lang w:val="en-GB"/>
        </w:rPr>
        <w:t xml:space="preserve"> </w:t>
      </w:r>
    </w:p>
  </w:footnote>
  <w:footnote w:id="3">
    <w:p w14:paraId="54797E96" w14:textId="3145E78C" w:rsidR="00504594" w:rsidRPr="00D66F6E" w:rsidRDefault="00504594" w:rsidP="009F25AF">
      <w:pPr>
        <w:pStyle w:val="FootnoteText"/>
        <w:keepNext/>
        <w:keepLines/>
        <w:rPr>
          <w:rFonts w:ascii="Trebuchet MS" w:hAnsi="Trebuchet MS"/>
          <w:sz w:val="16"/>
          <w:szCs w:val="16"/>
          <w:lang w:val="en-US"/>
        </w:rPr>
      </w:pPr>
      <w:r w:rsidRPr="00D66F6E">
        <w:rPr>
          <w:rStyle w:val="FootnoteReference"/>
          <w:rFonts w:ascii="Trebuchet MS" w:hAnsi="Trebuchet MS"/>
          <w:sz w:val="16"/>
          <w:szCs w:val="16"/>
        </w:rPr>
        <w:footnoteRef/>
      </w:r>
      <w:r w:rsidRPr="00D66F6E">
        <w:rPr>
          <w:rFonts w:ascii="Trebuchet MS" w:hAnsi="Trebuchet MS"/>
          <w:sz w:val="16"/>
          <w:szCs w:val="16"/>
          <w:lang w:val="en-US"/>
        </w:rPr>
        <w:t xml:space="preserve"> </w:t>
      </w:r>
      <w:r w:rsidRPr="00D66F6E">
        <w:rPr>
          <w:rFonts w:ascii="Trebuchet MS" w:eastAsia="Times New Roman" w:hAnsi="Trebuchet MS"/>
          <w:b/>
          <w:sz w:val="16"/>
          <w:szCs w:val="16"/>
          <w:lang w:val="en-GB"/>
        </w:rPr>
        <w:t>Bad</w:t>
      </w:r>
      <w:r w:rsidRPr="00D66F6E">
        <w:rPr>
          <w:rFonts w:ascii="Trebuchet MS" w:eastAsia="Times New Roman" w:hAnsi="Trebuchet MS"/>
          <w:sz w:val="16"/>
          <w:szCs w:val="16"/>
          <w:lang w:val="en-GB"/>
        </w:rPr>
        <w:t xml:space="preserve"> according to the methodology used. E.g., less than 98% were found eligible and errors were NOT well defined or confined </w:t>
      </w:r>
      <w:r w:rsidR="001B4C8E" w:rsidRPr="00D66F6E">
        <w:rPr>
          <w:rFonts w:ascii="Trebuchet MS" w:eastAsia="Times New Roman" w:hAnsi="Trebuchet MS"/>
          <w:sz w:val="16"/>
          <w:szCs w:val="16"/>
          <w:lang w:val="en-GB"/>
        </w:rPr>
        <w:t xml:space="preserve">or </w:t>
      </w:r>
      <w:r w:rsidRPr="00D66F6E">
        <w:rPr>
          <w:rFonts w:ascii="Trebuchet MS" w:eastAsia="Times New Roman" w:hAnsi="Trebuchet MS"/>
          <w:sz w:val="16"/>
          <w:szCs w:val="16"/>
          <w:lang w:val="en-GB"/>
        </w:rPr>
        <w:t xml:space="preserve">could NOT be addressed </w:t>
      </w:r>
      <w:r w:rsidR="001B4C8E" w:rsidRPr="00D66F6E">
        <w:rPr>
          <w:rFonts w:ascii="Trebuchet MS" w:eastAsia="Times New Roman" w:hAnsi="Trebuchet MS"/>
          <w:sz w:val="16"/>
          <w:szCs w:val="16"/>
          <w:lang w:val="en-GB"/>
        </w:rPr>
        <w:t>sufficiently by the project partner in clarification rounds</w:t>
      </w:r>
      <w:r w:rsidRPr="00D66F6E">
        <w:rPr>
          <w:rFonts w:ascii="Trebuchet MS" w:eastAsia="Times New Roman" w:hAnsi="Trebuchet MS"/>
          <w:sz w:val="16"/>
          <w:szCs w:val="16"/>
          <w:lang w:val="en-GB"/>
        </w:rPr>
        <w:t>. Sampling is not recommended in this case.</w:t>
      </w:r>
    </w:p>
  </w:footnote>
  <w:footnote w:id="4">
    <w:p w14:paraId="69612591" w14:textId="792D0389" w:rsidR="004B0089" w:rsidRPr="00355EE9" w:rsidRDefault="004B0089" w:rsidP="004B0089">
      <w:pPr>
        <w:pStyle w:val="Corpsdutexte30"/>
        <w:shd w:val="clear" w:color="auto" w:fill="auto"/>
        <w:spacing w:before="120" w:after="120" w:line="240" w:lineRule="auto"/>
        <w:ind w:left="60"/>
        <w:jc w:val="left"/>
        <w:rPr>
          <w:rStyle w:val="Corpsdutexte3"/>
          <w:rFonts w:ascii="Trebuchet MS" w:hAnsi="Trebuchet MS"/>
          <w:b/>
          <w:bCs/>
          <w:color w:val="000000"/>
          <w:sz w:val="16"/>
          <w:szCs w:val="16"/>
          <w:lang w:val="en-US" w:eastAsia="en-US"/>
        </w:rPr>
      </w:pPr>
      <w:r w:rsidRPr="00355EE9">
        <w:rPr>
          <w:rStyle w:val="FootnoteReference"/>
          <w:rFonts w:ascii="Trebuchet MS" w:hAnsi="Trebuchet MS"/>
          <w:sz w:val="16"/>
          <w:szCs w:val="16"/>
        </w:rPr>
        <w:footnoteRef/>
      </w:r>
      <w:r w:rsidRPr="00355EE9">
        <w:rPr>
          <w:rFonts w:ascii="Trebuchet MS" w:hAnsi="Trebuchet MS"/>
          <w:sz w:val="16"/>
          <w:szCs w:val="16"/>
        </w:rPr>
        <w:t xml:space="preserve"> </w:t>
      </w:r>
      <w:r w:rsidRPr="00355EE9">
        <w:rPr>
          <w:rStyle w:val="Corpsdutexte3"/>
          <w:rFonts w:ascii="Trebuchet MS" w:hAnsi="Trebuchet MS"/>
          <w:bCs/>
          <w:color w:val="000000"/>
          <w:sz w:val="16"/>
          <w:szCs w:val="16"/>
        </w:rPr>
        <w:t xml:space="preserve">Guidance document on management </w:t>
      </w:r>
      <w:proofErr w:type="spellStart"/>
      <w:r w:rsidRPr="00355EE9">
        <w:rPr>
          <w:rStyle w:val="Corpsdutexte3"/>
          <w:rFonts w:ascii="Trebuchet MS" w:hAnsi="Trebuchet MS"/>
          <w:bCs/>
          <w:color w:val="000000"/>
          <w:sz w:val="16"/>
          <w:szCs w:val="16"/>
        </w:rPr>
        <w:t>verifications</w:t>
      </w:r>
      <w:proofErr w:type="spellEnd"/>
      <w:r w:rsidRPr="00355EE9">
        <w:rPr>
          <w:rStyle w:val="Corpsdutexte3"/>
          <w:rFonts w:ascii="Trebuchet MS" w:hAnsi="Trebuchet MS"/>
          <w:bCs/>
          <w:color w:val="000000"/>
          <w:sz w:val="16"/>
          <w:szCs w:val="16"/>
        </w:rPr>
        <w:t xml:space="preserve"> to </w:t>
      </w:r>
      <w:proofErr w:type="spellStart"/>
      <w:r w:rsidRPr="00355EE9">
        <w:rPr>
          <w:rStyle w:val="Corpsdutexte3"/>
          <w:rFonts w:ascii="Trebuchet MS" w:hAnsi="Trebuchet MS"/>
          <w:bCs/>
          <w:color w:val="000000"/>
          <w:sz w:val="16"/>
          <w:szCs w:val="16"/>
        </w:rPr>
        <w:t>be</w:t>
      </w:r>
      <w:proofErr w:type="spellEnd"/>
      <w:r w:rsidRPr="00355EE9">
        <w:rPr>
          <w:rStyle w:val="Corpsdutexte3"/>
          <w:rFonts w:ascii="Trebuchet MS" w:hAnsi="Trebuchet MS"/>
          <w:bCs/>
          <w:color w:val="000000"/>
          <w:sz w:val="16"/>
          <w:szCs w:val="16"/>
        </w:rPr>
        <w:t xml:space="preserve"> </w:t>
      </w:r>
      <w:proofErr w:type="spellStart"/>
      <w:r w:rsidRPr="00355EE9">
        <w:rPr>
          <w:rStyle w:val="Corpsdutexte3"/>
          <w:rFonts w:ascii="Trebuchet MS" w:hAnsi="Trebuchet MS"/>
          <w:bCs/>
          <w:color w:val="000000"/>
          <w:sz w:val="16"/>
          <w:szCs w:val="16"/>
        </w:rPr>
        <w:t>carried</w:t>
      </w:r>
      <w:proofErr w:type="spellEnd"/>
      <w:r w:rsidRPr="00355EE9">
        <w:rPr>
          <w:rStyle w:val="Corpsdutexte3"/>
          <w:rFonts w:ascii="Trebuchet MS" w:hAnsi="Trebuchet MS"/>
          <w:bCs/>
          <w:color w:val="000000"/>
          <w:sz w:val="16"/>
          <w:szCs w:val="16"/>
        </w:rPr>
        <w:t xml:space="preserve"> out by </w:t>
      </w:r>
      <w:proofErr w:type="spellStart"/>
      <w:r w:rsidRPr="00355EE9">
        <w:rPr>
          <w:rStyle w:val="Corpsdutexte3"/>
          <w:rFonts w:ascii="Trebuchet MS" w:hAnsi="Trebuchet MS"/>
          <w:bCs/>
          <w:color w:val="000000"/>
          <w:sz w:val="16"/>
          <w:szCs w:val="16"/>
        </w:rPr>
        <w:t>Member</w:t>
      </w:r>
      <w:proofErr w:type="spellEnd"/>
      <w:r w:rsidRPr="00355EE9">
        <w:rPr>
          <w:rStyle w:val="Corpsdutexte3"/>
          <w:rFonts w:ascii="Trebuchet MS" w:hAnsi="Trebuchet MS"/>
          <w:bCs/>
          <w:color w:val="000000"/>
          <w:sz w:val="16"/>
          <w:szCs w:val="16"/>
        </w:rPr>
        <w:t xml:space="preserve"> States </w:t>
      </w:r>
      <w:proofErr w:type="spellStart"/>
      <w:r w:rsidRPr="00355EE9">
        <w:rPr>
          <w:rStyle w:val="Corpsdutexte3"/>
          <w:rFonts w:ascii="Trebuchet MS" w:hAnsi="Trebuchet MS"/>
          <w:bCs/>
          <w:color w:val="000000"/>
          <w:sz w:val="16"/>
          <w:szCs w:val="16"/>
        </w:rPr>
        <w:t>on</w:t>
      </w:r>
      <w:proofErr w:type="spellEnd"/>
      <w:r w:rsidRPr="00355EE9">
        <w:rPr>
          <w:rStyle w:val="Corpsdutexte3"/>
          <w:rFonts w:ascii="Trebuchet MS" w:hAnsi="Trebuchet MS"/>
          <w:bCs/>
          <w:color w:val="000000"/>
          <w:sz w:val="16"/>
          <w:szCs w:val="16"/>
        </w:rPr>
        <w:t xml:space="preserve"> </w:t>
      </w:r>
      <w:proofErr w:type="spellStart"/>
      <w:r w:rsidRPr="00355EE9">
        <w:rPr>
          <w:rStyle w:val="Corpsdutexte3"/>
          <w:rFonts w:ascii="Trebuchet MS" w:hAnsi="Trebuchet MS"/>
          <w:bCs/>
          <w:color w:val="000000"/>
          <w:sz w:val="16"/>
          <w:szCs w:val="16"/>
        </w:rPr>
        <w:t>operations</w:t>
      </w:r>
      <w:proofErr w:type="spellEnd"/>
      <w:r w:rsidRPr="00355EE9">
        <w:rPr>
          <w:rStyle w:val="Corpsdutexte3"/>
          <w:rFonts w:ascii="Trebuchet MS" w:hAnsi="Trebuchet MS"/>
          <w:bCs/>
          <w:color w:val="000000"/>
          <w:sz w:val="16"/>
          <w:szCs w:val="16"/>
        </w:rPr>
        <w:t xml:space="preserve"> </w:t>
      </w:r>
      <w:proofErr w:type="spellStart"/>
      <w:r w:rsidRPr="00355EE9">
        <w:rPr>
          <w:rStyle w:val="Corpsdutexte3"/>
          <w:rFonts w:ascii="Trebuchet MS" w:hAnsi="Trebuchet MS"/>
          <w:bCs/>
          <w:color w:val="000000"/>
          <w:sz w:val="16"/>
          <w:szCs w:val="16"/>
        </w:rPr>
        <w:t>co-financed</w:t>
      </w:r>
      <w:proofErr w:type="spellEnd"/>
      <w:r w:rsidRPr="00355EE9">
        <w:rPr>
          <w:rStyle w:val="Corpsdutexte3"/>
          <w:rFonts w:ascii="Trebuchet MS" w:hAnsi="Trebuchet MS"/>
          <w:bCs/>
          <w:color w:val="000000"/>
          <w:sz w:val="16"/>
          <w:szCs w:val="16"/>
        </w:rPr>
        <w:t xml:space="preserve"> by </w:t>
      </w:r>
      <w:r w:rsidRPr="00355EE9">
        <w:rPr>
          <w:rStyle w:val="Corpsdutexte3"/>
          <w:rFonts w:ascii="Trebuchet MS" w:hAnsi="Trebuchet MS"/>
          <w:bCs/>
          <w:color w:val="000000"/>
          <w:sz w:val="16"/>
          <w:szCs w:val="16"/>
          <w:lang w:val="en-US" w:eastAsia="en-US"/>
        </w:rPr>
        <w:t xml:space="preserve">the Structural Funds, the Cohesion Fund and the EMFF for the </w:t>
      </w:r>
      <w:r w:rsidRPr="00355EE9">
        <w:rPr>
          <w:rStyle w:val="Corpsdutexte3"/>
          <w:rFonts w:ascii="Trebuchet MS" w:hAnsi="Trebuchet MS"/>
          <w:bCs/>
          <w:color w:val="000000"/>
          <w:sz w:val="16"/>
          <w:szCs w:val="16"/>
          <w:lang w:val="sl-SI" w:eastAsia="sl-SI"/>
        </w:rPr>
        <w:t xml:space="preserve">2014- 2020 </w:t>
      </w:r>
      <w:r w:rsidRPr="00355EE9">
        <w:rPr>
          <w:rStyle w:val="Corpsdutexte3"/>
          <w:rFonts w:ascii="Trebuchet MS" w:hAnsi="Trebuchet MS"/>
          <w:bCs/>
          <w:color w:val="000000"/>
          <w:sz w:val="16"/>
          <w:szCs w:val="16"/>
          <w:lang w:val="en-US" w:eastAsia="en-US"/>
        </w:rPr>
        <w:t>programming period; DRAFT March 2014</w:t>
      </w:r>
    </w:p>
    <w:p w14:paraId="1A2B3D4B" w14:textId="7C23181E" w:rsidR="004B0089" w:rsidRPr="004B0089" w:rsidRDefault="004B0089">
      <w:pPr>
        <w:pStyle w:val="FootnoteText"/>
        <w:rPr>
          <w:lang w:val="en-US"/>
        </w:rPr>
      </w:pPr>
    </w:p>
  </w:footnote>
  <w:footnote w:id="5">
    <w:p w14:paraId="359FD0BA" w14:textId="21D35EE7" w:rsidR="009B3A8D" w:rsidRPr="009B3A8D" w:rsidRDefault="009B3A8D" w:rsidP="00B96126">
      <w:pPr>
        <w:pStyle w:val="CommentText"/>
        <w:spacing w:before="60" w:after="0"/>
        <w:rPr>
          <w:rFonts w:ascii="Trebuchet MS" w:hAnsi="Trebuchet MS"/>
          <w:sz w:val="16"/>
          <w:szCs w:val="16"/>
        </w:rPr>
      </w:pPr>
      <w:bookmarkStart w:id="0" w:name="_GoBack"/>
      <w:r w:rsidRPr="009B3A8D">
        <w:rPr>
          <w:rStyle w:val="FootnoteReference"/>
          <w:rFonts w:ascii="Trebuchet MS" w:hAnsi="Trebuchet MS"/>
          <w:sz w:val="16"/>
          <w:szCs w:val="16"/>
        </w:rPr>
        <w:footnoteRef/>
      </w:r>
      <w:r w:rsidRPr="009B3A8D">
        <w:rPr>
          <w:rFonts w:ascii="Trebuchet MS" w:hAnsi="Trebuchet MS"/>
          <w:sz w:val="16"/>
          <w:szCs w:val="16"/>
        </w:rPr>
        <w:t xml:space="preserve"> The draft EC Guidance also recommends a combination of the two approaches. </w:t>
      </w:r>
    </w:p>
  </w:footnote>
  <w:footnote w:id="6">
    <w:p w14:paraId="5BC6EA1B" w14:textId="1635F71C" w:rsidR="009B3A8D" w:rsidRPr="009B3A8D" w:rsidRDefault="009B3A8D" w:rsidP="00B96126">
      <w:pPr>
        <w:pStyle w:val="CommentText"/>
        <w:spacing w:before="60" w:after="0"/>
        <w:rPr>
          <w:rFonts w:ascii="Trebuchet MS" w:hAnsi="Trebuchet MS"/>
          <w:sz w:val="16"/>
          <w:szCs w:val="16"/>
        </w:rPr>
      </w:pPr>
      <w:r w:rsidRPr="009B3A8D">
        <w:rPr>
          <w:rStyle w:val="FootnoteReference"/>
          <w:rFonts w:ascii="Trebuchet MS" w:hAnsi="Trebuchet MS"/>
          <w:sz w:val="16"/>
          <w:szCs w:val="16"/>
        </w:rPr>
        <w:footnoteRef/>
      </w:r>
      <w:r w:rsidRPr="009B3A8D">
        <w:rPr>
          <w:rFonts w:ascii="Trebuchet MS" w:hAnsi="Trebuchet MS"/>
          <w:sz w:val="16"/>
          <w:szCs w:val="16"/>
        </w:rPr>
        <w:t xml:space="preserve"> The draft EC guidance recommends verification of all public procurements as best practice: Verify all public procurements above EU threshold and sample those below. </w:t>
      </w:r>
      <w:r w:rsidRPr="009B3A8D">
        <w:rPr>
          <w:rFonts w:ascii="Trebuchet MS" w:hAnsi="Trebuchet MS"/>
          <w:b/>
          <w:sz w:val="16"/>
          <w:szCs w:val="16"/>
        </w:rPr>
        <w:t xml:space="preserve">Programmes may wish to set a limit below </w:t>
      </w:r>
      <w:proofErr w:type="gramStart"/>
      <w:r w:rsidRPr="009B3A8D">
        <w:rPr>
          <w:rFonts w:ascii="Trebuchet MS" w:hAnsi="Trebuchet MS"/>
          <w:b/>
          <w:sz w:val="16"/>
          <w:szCs w:val="16"/>
        </w:rPr>
        <w:t>which  a</w:t>
      </w:r>
      <w:proofErr w:type="gramEnd"/>
      <w:r w:rsidRPr="009B3A8D">
        <w:rPr>
          <w:rFonts w:ascii="Trebuchet MS" w:hAnsi="Trebuchet MS"/>
          <w:b/>
          <w:sz w:val="16"/>
          <w:szCs w:val="16"/>
        </w:rPr>
        <w:t xml:space="preserve"> purchase it not considered a ‘public procurement’. </w:t>
      </w:r>
    </w:p>
  </w:footnote>
  <w:footnote w:id="7">
    <w:p w14:paraId="56CB7190" w14:textId="55D47AA8" w:rsidR="009B3A8D" w:rsidRPr="009B3A8D" w:rsidRDefault="009B3A8D" w:rsidP="00B96126">
      <w:pPr>
        <w:pStyle w:val="CommentText"/>
        <w:spacing w:before="60" w:after="0"/>
        <w:rPr>
          <w:rFonts w:ascii="Trebuchet MS" w:hAnsi="Trebuchet MS"/>
          <w:sz w:val="16"/>
          <w:szCs w:val="16"/>
        </w:rPr>
      </w:pPr>
      <w:r w:rsidRPr="009B3A8D">
        <w:rPr>
          <w:rStyle w:val="FootnoteReference"/>
          <w:rFonts w:ascii="Trebuchet MS" w:hAnsi="Trebuchet MS"/>
          <w:sz w:val="16"/>
          <w:szCs w:val="16"/>
        </w:rPr>
        <w:footnoteRef/>
      </w:r>
      <w:r w:rsidRPr="009B3A8D">
        <w:rPr>
          <w:rFonts w:ascii="Trebuchet MS" w:hAnsi="Trebuchet MS"/>
          <w:sz w:val="16"/>
          <w:szCs w:val="16"/>
        </w:rPr>
        <w:t xml:space="preserve"> This is an estimate of what is required. Programmes and controllers can of course increase the size of the initial sample. </w:t>
      </w:r>
    </w:p>
  </w:footnote>
  <w:footnote w:id="8">
    <w:p w14:paraId="1E23A204" w14:textId="11EF8169" w:rsidR="009B3A8D" w:rsidRPr="009B3A8D" w:rsidRDefault="009B3A8D" w:rsidP="00B96126">
      <w:pPr>
        <w:pStyle w:val="CommentText"/>
        <w:spacing w:before="60" w:after="0"/>
        <w:rPr>
          <w:rFonts w:ascii="Trebuchet MS" w:hAnsi="Trebuchet MS"/>
          <w:sz w:val="16"/>
          <w:szCs w:val="16"/>
        </w:rPr>
      </w:pPr>
      <w:r w:rsidRPr="009B3A8D">
        <w:rPr>
          <w:rStyle w:val="FootnoteReference"/>
          <w:rFonts w:ascii="Trebuchet MS" w:hAnsi="Trebuchet MS"/>
          <w:sz w:val="16"/>
          <w:szCs w:val="16"/>
        </w:rPr>
        <w:footnoteRef/>
      </w:r>
      <w:r w:rsidRPr="009B3A8D">
        <w:rPr>
          <w:rFonts w:ascii="Trebuchet MS" w:hAnsi="Trebuchet MS"/>
          <w:sz w:val="16"/>
          <w:szCs w:val="16"/>
        </w:rPr>
        <w:t xml:space="preserve"> </w:t>
      </w:r>
      <w:proofErr w:type="gramStart"/>
      <w:r w:rsidRPr="009B3A8D">
        <w:rPr>
          <w:rFonts w:ascii="Trebuchet MS" w:hAnsi="Trebuchet MS"/>
          <w:sz w:val="16"/>
          <w:szCs w:val="16"/>
        </w:rPr>
        <w:t>Also an estimate that can be adjusted.</w:t>
      </w:r>
      <w:proofErr w:type="gramEnd"/>
    </w:p>
  </w:footnote>
  <w:footnote w:id="9">
    <w:p w14:paraId="022888C6" w14:textId="106F20DE" w:rsidR="009B3A8D" w:rsidRPr="00B96126" w:rsidRDefault="009B3A8D" w:rsidP="00B96126">
      <w:pPr>
        <w:pStyle w:val="CommentText"/>
        <w:spacing w:before="60" w:after="0"/>
        <w:rPr>
          <w:rFonts w:ascii="Trebuchet MS" w:hAnsi="Trebuchet MS"/>
          <w:sz w:val="16"/>
          <w:szCs w:val="16"/>
        </w:rPr>
      </w:pPr>
      <w:r w:rsidRPr="009B3A8D">
        <w:rPr>
          <w:rStyle w:val="FootnoteReference"/>
          <w:rFonts w:ascii="Trebuchet MS" w:hAnsi="Trebuchet MS"/>
          <w:sz w:val="16"/>
          <w:szCs w:val="16"/>
        </w:rPr>
        <w:footnoteRef/>
      </w:r>
      <w:r w:rsidRPr="009B3A8D">
        <w:rPr>
          <w:rFonts w:ascii="Trebuchet MS" w:hAnsi="Trebuchet MS"/>
          <w:sz w:val="16"/>
          <w:szCs w:val="16"/>
        </w:rPr>
        <w:t xml:space="preserve"> List of common features: see also </w:t>
      </w:r>
      <w:r w:rsidR="00B96126">
        <w:rPr>
          <w:rFonts w:ascii="Trebuchet MS" w:hAnsi="Trebuchet MS"/>
          <w:sz w:val="16"/>
          <w:szCs w:val="16"/>
        </w:rPr>
        <w:t xml:space="preserve">draft </w:t>
      </w:r>
      <w:r w:rsidRPr="009B3A8D">
        <w:rPr>
          <w:rFonts w:ascii="Trebuchet MS" w:hAnsi="Trebuchet MS"/>
          <w:sz w:val="16"/>
          <w:szCs w:val="16"/>
        </w:rPr>
        <w:t>EC guidance</w:t>
      </w:r>
      <w:r w:rsidR="00B96126">
        <w:rPr>
          <w:rFonts w:ascii="Trebuchet MS" w:hAnsi="Trebuchet MS"/>
          <w:sz w:val="16"/>
          <w:szCs w:val="16"/>
        </w:rPr>
        <w:t>.</w:t>
      </w:r>
    </w:p>
  </w:footnote>
  <w:footnote w:id="10">
    <w:p w14:paraId="0BE5CC9E" w14:textId="0EC7DBA5" w:rsidR="009B3A8D" w:rsidRPr="009B3A8D" w:rsidRDefault="009B3A8D">
      <w:pPr>
        <w:pStyle w:val="FootnoteText"/>
        <w:rPr>
          <w:rFonts w:ascii="Trebuchet MS" w:hAnsi="Trebuchet MS"/>
          <w:sz w:val="16"/>
          <w:szCs w:val="16"/>
          <w:lang w:val="en-US"/>
        </w:rPr>
      </w:pPr>
      <w:r w:rsidRPr="009B3A8D">
        <w:rPr>
          <w:rStyle w:val="FootnoteReference"/>
          <w:rFonts w:ascii="Trebuchet MS" w:hAnsi="Trebuchet MS"/>
          <w:sz w:val="16"/>
          <w:szCs w:val="16"/>
        </w:rPr>
        <w:footnoteRef/>
      </w:r>
      <w:r w:rsidRPr="009B3A8D">
        <w:rPr>
          <w:rFonts w:ascii="Trebuchet MS" w:hAnsi="Trebuchet MS"/>
          <w:sz w:val="16"/>
          <w:szCs w:val="16"/>
          <w:lang w:val="en-US"/>
        </w:rPr>
        <w:t xml:space="preserve"> Both methods also recommended in draft EC guidance.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01" w:type="dxa"/>
      <w:tblCellMar>
        <w:left w:w="0" w:type="dxa"/>
        <w:right w:w="0" w:type="dxa"/>
      </w:tblCellMar>
      <w:tblLook w:val="00A0" w:firstRow="1" w:lastRow="0" w:firstColumn="1" w:lastColumn="0" w:noHBand="0" w:noVBand="0"/>
    </w:tblPr>
    <w:tblGrid>
      <w:gridCol w:w="6752"/>
      <w:gridCol w:w="7849"/>
    </w:tblGrid>
    <w:tr w:rsidR="00504594" w:rsidRPr="0002281F" w14:paraId="68266A5F" w14:textId="77777777">
      <w:tc>
        <w:tcPr>
          <w:tcW w:w="6752" w:type="dxa"/>
        </w:tcPr>
        <w:p w14:paraId="798F04F7" w14:textId="5CBA56CA" w:rsidR="00504594" w:rsidRPr="0002281F" w:rsidRDefault="00504594" w:rsidP="00C512A5">
          <w:pPr>
            <w:tabs>
              <w:tab w:val="center" w:pos="2634"/>
            </w:tabs>
            <w:rPr>
              <w:rFonts w:ascii="Arial" w:eastAsia="Calibri" w:hAnsi="Arial"/>
            </w:rPr>
          </w:pPr>
          <w:r>
            <w:rPr>
              <w:rFonts w:ascii="Arial" w:eastAsia="Calibri" w:hAnsi="Arial"/>
              <w:noProof/>
              <w:lang w:val="de-AT" w:eastAsia="de-AT"/>
            </w:rPr>
            <w:drawing>
              <wp:inline distT="0" distB="0" distL="0" distR="0" wp14:anchorId="6E0424B4" wp14:editId="42CA0F50">
                <wp:extent cx="3422650" cy="355600"/>
                <wp:effectExtent l="0" t="0" r="6350" b="6350"/>
                <wp:docPr id="1" name="Picture 1" descr="head_lef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_left.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2650" cy="355600"/>
                        </a:xfrm>
                        <a:prstGeom prst="rect">
                          <a:avLst/>
                        </a:prstGeom>
                        <a:noFill/>
                        <a:ln>
                          <a:noFill/>
                        </a:ln>
                      </pic:spPr>
                    </pic:pic>
                  </a:graphicData>
                </a:graphic>
              </wp:inline>
            </w:drawing>
          </w:r>
        </w:p>
      </w:tc>
      <w:tc>
        <w:tcPr>
          <w:tcW w:w="7849" w:type="dxa"/>
        </w:tcPr>
        <w:p w14:paraId="7EBE5DEE" w14:textId="08875B2A" w:rsidR="00504594" w:rsidRPr="0002281F" w:rsidRDefault="00504594" w:rsidP="00C512A5">
          <w:pPr>
            <w:jc w:val="right"/>
            <w:rPr>
              <w:rFonts w:ascii="Arial" w:eastAsia="Calibri" w:hAnsi="Arial"/>
            </w:rPr>
          </w:pPr>
          <w:r>
            <w:rPr>
              <w:rFonts w:ascii="Arial" w:eastAsia="Calibri" w:hAnsi="Arial"/>
              <w:noProof/>
              <w:lang w:val="de-AT" w:eastAsia="de-AT"/>
            </w:rPr>
            <w:drawing>
              <wp:inline distT="0" distB="0" distL="0" distR="0" wp14:anchorId="300108F3" wp14:editId="7AA78ADE">
                <wp:extent cx="666750" cy="736600"/>
                <wp:effectExtent l="0" t="0" r="0" b="6350"/>
                <wp:docPr id="2" name="Picture 2" descr="20100826_interact_map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00826_interact_map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736600"/>
                        </a:xfrm>
                        <a:prstGeom prst="rect">
                          <a:avLst/>
                        </a:prstGeom>
                        <a:noFill/>
                        <a:ln>
                          <a:noFill/>
                        </a:ln>
                      </pic:spPr>
                    </pic:pic>
                  </a:graphicData>
                </a:graphic>
              </wp:inline>
            </w:drawing>
          </w:r>
        </w:p>
      </w:tc>
    </w:tr>
  </w:tbl>
  <w:p w14:paraId="24CBA28B" w14:textId="77777777" w:rsidR="00504594" w:rsidRPr="005A225C" w:rsidRDefault="00504594" w:rsidP="00C512A5">
    <w:pPr>
      <w:pStyle w:val="Head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01" w:type="dxa"/>
      <w:tblCellMar>
        <w:left w:w="0" w:type="dxa"/>
        <w:right w:w="0" w:type="dxa"/>
      </w:tblCellMar>
      <w:tblLook w:val="00A0" w:firstRow="1" w:lastRow="0" w:firstColumn="1" w:lastColumn="0" w:noHBand="0" w:noVBand="0"/>
    </w:tblPr>
    <w:tblGrid>
      <w:gridCol w:w="7484"/>
      <w:gridCol w:w="7117"/>
    </w:tblGrid>
    <w:tr w:rsidR="00504594" w:rsidRPr="0002281F" w14:paraId="428A505C" w14:textId="77777777">
      <w:tc>
        <w:tcPr>
          <w:tcW w:w="7484" w:type="dxa"/>
        </w:tcPr>
        <w:p w14:paraId="0BB7DEAC" w14:textId="4B0B2085" w:rsidR="00504594" w:rsidRPr="0002281F" w:rsidRDefault="00504594" w:rsidP="00C512A5">
          <w:pPr>
            <w:tabs>
              <w:tab w:val="center" w:pos="2634"/>
            </w:tabs>
            <w:rPr>
              <w:rFonts w:ascii="Arial" w:eastAsia="Calibri" w:hAnsi="Arial"/>
            </w:rPr>
          </w:pPr>
          <w:r>
            <w:rPr>
              <w:rFonts w:ascii="Arial" w:eastAsia="Calibri" w:hAnsi="Arial"/>
              <w:noProof/>
              <w:lang w:val="de-AT" w:eastAsia="de-AT"/>
            </w:rPr>
            <w:drawing>
              <wp:inline distT="0" distB="0" distL="0" distR="0" wp14:anchorId="32C119FC" wp14:editId="58658E26">
                <wp:extent cx="3422650" cy="355600"/>
                <wp:effectExtent l="0" t="0" r="6350" b="6350"/>
                <wp:docPr id="9" name="Picture 9" descr="head_lef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d_left.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2650" cy="355600"/>
                        </a:xfrm>
                        <a:prstGeom prst="rect">
                          <a:avLst/>
                        </a:prstGeom>
                        <a:noFill/>
                        <a:ln>
                          <a:noFill/>
                        </a:ln>
                      </pic:spPr>
                    </pic:pic>
                  </a:graphicData>
                </a:graphic>
              </wp:inline>
            </w:drawing>
          </w:r>
        </w:p>
      </w:tc>
      <w:tc>
        <w:tcPr>
          <w:tcW w:w="7117" w:type="dxa"/>
        </w:tcPr>
        <w:p w14:paraId="27E620F0" w14:textId="6F0FA1F7" w:rsidR="00504594" w:rsidRPr="0002281F" w:rsidRDefault="00504594" w:rsidP="00C512A5">
          <w:pPr>
            <w:jc w:val="right"/>
            <w:rPr>
              <w:rFonts w:ascii="Arial" w:eastAsia="Calibri" w:hAnsi="Arial"/>
            </w:rPr>
          </w:pPr>
          <w:r>
            <w:rPr>
              <w:rFonts w:ascii="Arial" w:eastAsia="Calibri" w:hAnsi="Arial"/>
              <w:noProof/>
              <w:lang w:val="de-AT" w:eastAsia="de-AT"/>
            </w:rPr>
            <w:drawing>
              <wp:inline distT="0" distB="0" distL="0" distR="0" wp14:anchorId="350EABDE" wp14:editId="5A0AE568">
                <wp:extent cx="666750" cy="736600"/>
                <wp:effectExtent l="0" t="0" r="0" b="6350"/>
                <wp:docPr id="10" name="Picture 10" descr="20100826_interact_map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00826_interact_map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736600"/>
                        </a:xfrm>
                        <a:prstGeom prst="rect">
                          <a:avLst/>
                        </a:prstGeom>
                        <a:noFill/>
                        <a:ln>
                          <a:noFill/>
                        </a:ln>
                      </pic:spPr>
                    </pic:pic>
                  </a:graphicData>
                </a:graphic>
              </wp:inline>
            </w:drawing>
          </w:r>
        </w:p>
      </w:tc>
    </w:tr>
  </w:tbl>
  <w:p w14:paraId="4F39A39A" w14:textId="77777777" w:rsidR="00504594" w:rsidRPr="00F94D48" w:rsidRDefault="00504594" w:rsidP="00C512A5">
    <w:pPr>
      <w:pStyle w:val="Header"/>
      <w:tabs>
        <w:tab w:val="clear" w:pos="4536"/>
        <w:tab w:val="clear" w:pos="9072"/>
        <w:tab w:val="left" w:pos="2151"/>
      </w:tabs>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0A0" w:firstRow="1" w:lastRow="0" w:firstColumn="1" w:lastColumn="0" w:noHBand="0" w:noVBand="0"/>
    </w:tblPr>
    <w:tblGrid>
      <w:gridCol w:w="7003"/>
      <w:gridCol w:w="2296"/>
    </w:tblGrid>
    <w:tr w:rsidR="00F668CF" w:rsidRPr="003B799C" w14:paraId="36BECD51" w14:textId="77777777" w:rsidTr="00872DA9">
      <w:trPr>
        <w:trHeight w:val="846"/>
      </w:trPr>
      <w:tc>
        <w:tcPr>
          <w:tcW w:w="7003" w:type="dxa"/>
        </w:tcPr>
        <w:p w14:paraId="17FE57EF" w14:textId="065EE345" w:rsidR="00F668CF" w:rsidRPr="003B799C" w:rsidRDefault="00AA0BA7" w:rsidP="00643618">
          <w:pPr>
            <w:tabs>
              <w:tab w:val="center" w:pos="2634"/>
            </w:tabs>
            <w:rPr>
              <w:rFonts w:ascii="Arial" w:eastAsia="Calibri" w:hAnsi="Arial"/>
            </w:rPr>
          </w:pPr>
          <w:r>
            <w:rPr>
              <w:rFonts w:ascii="Arial" w:eastAsia="Calibri" w:hAnsi="Arial"/>
              <w:noProof/>
              <w:lang w:val="de-AT" w:eastAsia="de-AT"/>
            </w:rPr>
            <w:drawing>
              <wp:inline distT="0" distB="0" distL="0" distR="0" wp14:anchorId="56C09418" wp14:editId="2600C3A9">
                <wp:extent cx="3418840" cy="349885"/>
                <wp:effectExtent l="0" t="0" r="0" b="0"/>
                <wp:docPr id="13" name="Picture 13" descr="head_lef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0" descr="head_left.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8840" cy="349885"/>
                        </a:xfrm>
                        <a:prstGeom prst="rect">
                          <a:avLst/>
                        </a:prstGeom>
                        <a:noFill/>
                        <a:ln>
                          <a:noFill/>
                        </a:ln>
                      </pic:spPr>
                    </pic:pic>
                  </a:graphicData>
                </a:graphic>
              </wp:inline>
            </w:drawing>
          </w:r>
          <w:r w:rsidR="001810B3">
            <w:rPr>
              <w:rFonts w:ascii="Arial" w:eastAsia="Calibri" w:hAnsi="Arial"/>
            </w:rPr>
            <w:t xml:space="preserve">   </w:t>
          </w:r>
        </w:p>
      </w:tc>
      <w:tc>
        <w:tcPr>
          <w:tcW w:w="2296" w:type="dxa"/>
        </w:tcPr>
        <w:p w14:paraId="13802958" w14:textId="67E51225" w:rsidR="00F668CF" w:rsidRPr="003B799C" w:rsidRDefault="00AA0BA7" w:rsidP="005547E4">
          <w:pPr>
            <w:jc w:val="right"/>
            <w:rPr>
              <w:rFonts w:ascii="Arial" w:eastAsia="Calibri" w:hAnsi="Arial"/>
            </w:rPr>
          </w:pPr>
          <w:r>
            <w:rPr>
              <w:rFonts w:ascii="Arial" w:eastAsia="Calibri" w:hAnsi="Arial"/>
              <w:noProof/>
              <w:lang w:val="de-AT" w:eastAsia="de-AT"/>
            </w:rPr>
            <w:drawing>
              <wp:inline distT="0" distB="0" distL="0" distR="0" wp14:anchorId="34FE39DB" wp14:editId="0900345A">
                <wp:extent cx="691515" cy="771525"/>
                <wp:effectExtent l="0" t="0" r="0" b="9525"/>
                <wp:docPr id="14" name="Picture 14" descr="20100826_interact_map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00826_interact_map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1515" cy="771525"/>
                        </a:xfrm>
                        <a:prstGeom prst="rect">
                          <a:avLst/>
                        </a:prstGeom>
                        <a:noFill/>
                        <a:ln>
                          <a:noFill/>
                        </a:ln>
                      </pic:spPr>
                    </pic:pic>
                  </a:graphicData>
                </a:graphic>
              </wp:inline>
            </w:drawing>
          </w:r>
        </w:p>
      </w:tc>
    </w:tr>
  </w:tbl>
  <w:p w14:paraId="50D766AE" w14:textId="77777777" w:rsidR="00F668CF" w:rsidRDefault="00D66F6E" w:rsidP="001037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E686E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32FF6"/>
    <w:multiLevelType w:val="multilevel"/>
    <w:tmpl w:val="5BFC3D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18B57F1"/>
    <w:multiLevelType w:val="hybridMultilevel"/>
    <w:tmpl w:val="9D8A3B22"/>
    <w:lvl w:ilvl="0" w:tplc="0C07000F">
      <w:start w:val="4"/>
      <w:numFmt w:val="decimal"/>
      <w:lvlText w:val="%1."/>
      <w:lvlJc w:val="left"/>
      <w:pPr>
        <w:ind w:left="417" w:hanging="360"/>
      </w:pPr>
      <w:rPr>
        <w:rFonts w:hint="default"/>
      </w:rPr>
    </w:lvl>
    <w:lvl w:ilvl="1" w:tplc="0C070019" w:tentative="1">
      <w:start w:val="1"/>
      <w:numFmt w:val="lowerLetter"/>
      <w:lvlText w:val="%2."/>
      <w:lvlJc w:val="left"/>
      <w:pPr>
        <w:ind w:left="1137" w:hanging="360"/>
      </w:pPr>
    </w:lvl>
    <w:lvl w:ilvl="2" w:tplc="0C07001B" w:tentative="1">
      <w:start w:val="1"/>
      <w:numFmt w:val="lowerRoman"/>
      <w:lvlText w:val="%3."/>
      <w:lvlJc w:val="right"/>
      <w:pPr>
        <w:ind w:left="1857" w:hanging="180"/>
      </w:pPr>
    </w:lvl>
    <w:lvl w:ilvl="3" w:tplc="0C07000F" w:tentative="1">
      <w:start w:val="1"/>
      <w:numFmt w:val="decimal"/>
      <w:lvlText w:val="%4."/>
      <w:lvlJc w:val="left"/>
      <w:pPr>
        <w:ind w:left="2577" w:hanging="360"/>
      </w:pPr>
    </w:lvl>
    <w:lvl w:ilvl="4" w:tplc="0C070019" w:tentative="1">
      <w:start w:val="1"/>
      <w:numFmt w:val="lowerLetter"/>
      <w:lvlText w:val="%5."/>
      <w:lvlJc w:val="left"/>
      <w:pPr>
        <w:ind w:left="3297" w:hanging="360"/>
      </w:pPr>
    </w:lvl>
    <w:lvl w:ilvl="5" w:tplc="0C07001B" w:tentative="1">
      <w:start w:val="1"/>
      <w:numFmt w:val="lowerRoman"/>
      <w:lvlText w:val="%6."/>
      <w:lvlJc w:val="right"/>
      <w:pPr>
        <w:ind w:left="4017" w:hanging="180"/>
      </w:pPr>
    </w:lvl>
    <w:lvl w:ilvl="6" w:tplc="0C07000F" w:tentative="1">
      <w:start w:val="1"/>
      <w:numFmt w:val="decimal"/>
      <w:lvlText w:val="%7."/>
      <w:lvlJc w:val="left"/>
      <w:pPr>
        <w:ind w:left="4737" w:hanging="360"/>
      </w:pPr>
    </w:lvl>
    <w:lvl w:ilvl="7" w:tplc="0C070019" w:tentative="1">
      <w:start w:val="1"/>
      <w:numFmt w:val="lowerLetter"/>
      <w:lvlText w:val="%8."/>
      <w:lvlJc w:val="left"/>
      <w:pPr>
        <w:ind w:left="5457" w:hanging="360"/>
      </w:pPr>
    </w:lvl>
    <w:lvl w:ilvl="8" w:tplc="0C07001B" w:tentative="1">
      <w:start w:val="1"/>
      <w:numFmt w:val="lowerRoman"/>
      <w:lvlText w:val="%9."/>
      <w:lvlJc w:val="right"/>
      <w:pPr>
        <w:ind w:left="6177" w:hanging="180"/>
      </w:pPr>
    </w:lvl>
  </w:abstractNum>
  <w:abstractNum w:abstractNumId="3">
    <w:nsid w:val="0CA11ED9"/>
    <w:multiLevelType w:val="hybridMultilevel"/>
    <w:tmpl w:val="5158F846"/>
    <w:lvl w:ilvl="0" w:tplc="AFAE5854">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nsid w:val="1029317E"/>
    <w:multiLevelType w:val="hybridMultilevel"/>
    <w:tmpl w:val="C1624E5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nsid w:val="16434534"/>
    <w:multiLevelType w:val="hybridMultilevel"/>
    <w:tmpl w:val="264481D2"/>
    <w:lvl w:ilvl="0" w:tplc="0C07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8EC50C8"/>
    <w:multiLevelType w:val="hybridMultilevel"/>
    <w:tmpl w:val="22B62C2E"/>
    <w:lvl w:ilvl="0" w:tplc="6458DC4E">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73067C"/>
    <w:multiLevelType w:val="multilevel"/>
    <w:tmpl w:val="95B4B87E"/>
    <w:lvl w:ilvl="0">
      <w:start w:val="1"/>
      <w:numFmt w:val="decimal"/>
      <w:lvlText w:val="%1."/>
      <w:lvlJc w:val="left"/>
      <w:pPr>
        <w:ind w:left="360" w:hanging="360"/>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
    <w:nsid w:val="1EC52425"/>
    <w:multiLevelType w:val="hybridMultilevel"/>
    <w:tmpl w:val="36D6F64A"/>
    <w:lvl w:ilvl="0" w:tplc="0C07000F">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9">
    <w:nsid w:val="2AD912C0"/>
    <w:multiLevelType w:val="hybridMultilevel"/>
    <w:tmpl w:val="5CAA7A6C"/>
    <w:lvl w:ilvl="0" w:tplc="C0D8B4AA">
      <w:start w:val="30"/>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A02223A"/>
    <w:multiLevelType w:val="multilevel"/>
    <w:tmpl w:val="0C07001F"/>
    <w:lvl w:ilvl="0">
      <w:start w:val="1"/>
      <w:numFmt w:val="decimal"/>
      <w:lvlText w:val="%1."/>
      <w:lvlJc w:val="left"/>
      <w:pPr>
        <w:ind w:left="417" w:hanging="360"/>
      </w:pPr>
    </w:lvl>
    <w:lvl w:ilvl="1">
      <w:start w:val="1"/>
      <w:numFmt w:val="decimal"/>
      <w:lvlText w:val="%1.%2."/>
      <w:lvlJc w:val="left"/>
      <w:pPr>
        <w:ind w:left="849" w:hanging="432"/>
      </w:pPr>
    </w:lvl>
    <w:lvl w:ilvl="2">
      <w:start w:val="1"/>
      <w:numFmt w:val="decimal"/>
      <w:lvlText w:val="%1.%2.%3."/>
      <w:lvlJc w:val="left"/>
      <w:pPr>
        <w:ind w:left="1281" w:hanging="504"/>
      </w:pPr>
    </w:lvl>
    <w:lvl w:ilvl="3">
      <w:start w:val="1"/>
      <w:numFmt w:val="decimal"/>
      <w:lvlText w:val="%1.%2.%3.%4."/>
      <w:lvlJc w:val="left"/>
      <w:pPr>
        <w:ind w:left="1785" w:hanging="648"/>
      </w:pPr>
    </w:lvl>
    <w:lvl w:ilvl="4">
      <w:start w:val="1"/>
      <w:numFmt w:val="decimal"/>
      <w:lvlText w:val="%1.%2.%3.%4.%5."/>
      <w:lvlJc w:val="left"/>
      <w:pPr>
        <w:ind w:left="2289" w:hanging="792"/>
      </w:pPr>
    </w:lvl>
    <w:lvl w:ilvl="5">
      <w:start w:val="1"/>
      <w:numFmt w:val="decimal"/>
      <w:lvlText w:val="%1.%2.%3.%4.%5.%6."/>
      <w:lvlJc w:val="left"/>
      <w:pPr>
        <w:ind w:left="2793" w:hanging="936"/>
      </w:pPr>
    </w:lvl>
    <w:lvl w:ilvl="6">
      <w:start w:val="1"/>
      <w:numFmt w:val="decimal"/>
      <w:lvlText w:val="%1.%2.%3.%4.%5.%6.%7."/>
      <w:lvlJc w:val="left"/>
      <w:pPr>
        <w:ind w:left="3297" w:hanging="1080"/>
      </w:pPr>
    </w:lvl>
    <w:lvl w:ilvl="7">
      <w:start w:val="1"/>
      <w:numFmt w:val="decimal"/>
      <w:lvlText w:val="%1.%2.%3.%4.%5.%6.%7.%8."/>
      <w:lvlJc w:val="left"/>
      <w:pPr>
        <w:ind w:left="3801" w:hanging="1224"/>
      </w:pPr>
    </w:lvl>
    <w:lvl w:ilvl="8">
      <w:start w:val="1"/>
      <w:numFmt w:val="decimal"/>
      <w:lvlText w:val="%1.%2.%3.%4.%5.%6.%7.%8.%9."/>
      <w:lvlJc w:val="left"/>
      <w:pPr>
        <w:ind w:left="4377" w:hanging="1440"/>
      </w:pPr>
    </w:lvl>
  </w:abstractNum>
  <w:abstractNum w:abstractNumId="11">
    <w:nsid w:val="3C014577"/>
    <w:multiLevelType w:val="hybridMultilevel"/>
    <w:tmpl w:val="AE64A54E"/>
    <w:lvl w:ilvl="0" w:tplc="4D5639E0">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3D761727"/>
    <w:multiLevelType w:val="multilevel"/>
    <w:tmpl w:val="C6A430F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3F8065B9"/>
    <w:multiLevelType w:val="hybridMultilevel"/>
    <w:tmpl w:val="7AA80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D33120"/>
    <w:multiLevelType w:val="hybridMultilevel"/>
    <w:tmpl w:val="E3281B50"/>
    <w:lvl w:ilvl="0" w:tplc="496E7306">
      <w:start w:val="1"/>
      <w:numFmt w:val="decimal"/>
      <w:lvlText w:val="%1."/>
      <w:lvlJc w:val="left"/>
      <w:pPr>
        <w:ind w:left="360" w:hanging="360"/>
      </w:pPr>
      <w:rPr>
        <w:rFonts w:ascii="Trebuchet MS" w:eastAsia="Times New Roman" w:hAnsi="Trebuchet MS" w:cs="Times New Roman"/>
        <w:b/>
        <w:i w:val="0"/>
        <w:color w:val="auto"/>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47D9180F"/>
    <w:multiLevelType w:val="hybridMultilevel"/>
    <w:tmpl w:val="4672F54E"/>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nsid w:val="4B75101E"/>
    <w:multiLevelType w:val="multilevel"/>
    <w:tmpl w:val="CBBC9208"/>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nsid w:val="4CCC0362"/>
    <w:multiLevelType w:val="multilevel"/>
    <w:tmpl w:val="D020172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4E3C2737"/>
    <w:multiLevelType w:val="hybridMultilevel"/>
    <w:tmpl w:val="5198B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1D6A4C"/>
    <w:multiLevelType w:val="hybridMultilevel"/>
    <w:tmpl w:val="53C62C26"/>
    <w:lvl w:ilvl="0" w:tplc="CA5487E2">
      <w:start w:val="4"/>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6D7EC5"/>
    <w:multiLevelType w:val="hybridMultilevel"/>
    <w:tmpl w:val="0EC01F0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5AE541CC"/>
    <w:multiLevelType w:val="multilevel"/>
    <w:tmpl w:val="BE1E3F24"/>
    <w:lvl w:ilvl="0">
      <w:start w:val="1"/>
      <w:numFmt w:val="decimal"/>
      <w:pStyle w:val="Heading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E1E79F0"/>
    <w:multiLevelType w:val="hybridMultilevel"/>
    <w:tmpl w:val="8822E48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51F1FE8"/>
    <w:multiLevelType w:val="hybridMultilevel"/>
    <w:tmpl w:val="02A23876"/>
    <w:lvl w:ilvl="0" w:tplc="0C07000F">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9D323CC"/>
    <w:multiLevelType w:val="hybridMultilevel"/>
    <w:tmpl w:val="346C65A4"/>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8727F25"/>
    <w:multiLevelType w:val="hybridMultilevel"/>
    <w:tmpl w:val="84785C36"/>
    <w:lvl w:ilvl="0" w:tplc="0C07000F">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98A6423"/>
    <w:multiLevelType w:val="hybridMultilevel"/>
    <w:tmpl w:val="1B04B4E2"/>
    <w:lvl w:ilvl="0" w:tplc="10ECB396">
      <w:numFmt w:val="decimal"/>
      <w:lvlText w:val="%1."/>
      <w:lvlJc w:val="left"/>
      <w:pPr>
        <w:ind w:left="360" w:hanging="360"/>
      </w:pPr>
      <w:rPr>
        <w:rFonts w:hint="default"/>
        <w:b/>
        <w:i w:val="0"/>
        <w:color w:val="auto"/>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15"/>
  </w:num>
  <w:num w:numId="2">
    <w:abstractNumId w:val="9"/>
  </w:num>
  <w:num w:numId="3">
    <w:abstractNumId w:val="6"/>
  </w:num>
  <w:num w:numId="4">
    <w:abstractNumId w:val="24"/>
  </w:num>
  <w:num w:numId="5">
    <w:abstractNumId w:val="16"/>
  </w:num>
  <w:num w:numId="6">
    <w:abstractNumId w:val="3"/>
  </w:num>
  <w:num w:numId="7">
    <w:abstractNumId w:val="11"/>
  </w:num>
  <w:num w:numId="8">
    <w:abstractNumId w:val="23"/>
  </w:num>
  <w:num w:numId="9">
    <w:abstractNumId w:val="26"/>
  </w:num>
  <w:num w:numId="10">
    <w:abstractNumId w:val="17"/>
  </w:num>
  <w:num w:numId="11">
    <w:abstractNumId w:val="1"/>
  </w:num>
  <w:num w:numId="12">
    <w:abstractNumId w:val="8"/>
  </w:num>
  <w:num w:numId="13">
    <w:abstractNumId w:val="25"/>
  </w:num>
  <w:num w:numId="14">
    <w:abstractNumId w:val="7"/>
  </w:num>
  <w:num w:numId="15">
    <w:abstractNumId w:val="12"/>
  </w:num>
  <w:num w:numId="16">
    <w:abstractNumId w:val="21"/>
  </w:num>
  <w:num w:numId="17">
    <w:abstractNumId w:val="10"/>
  </w:num>
  <w:num w:numId="18">
    <w:abstractNumId w:val="2"/>
  </w:num>
  <w:num w:numId="19">
    <w:abstractNumId w:val="18"/>
  </w:num>
  <w:num w:numId="20">
    <w:abstractNumId w:val="19"/>
  </w:num>
  <w:num w:numId="21">
    <w:abstractNumId w:val="21"/>
  </w:num>
  <w:num w:numId="22">
    <w:abstractNumId w:val="21"/>
  </w:num>
  <w:num w:numId="23">
    <w:abstractNumId w:val="21"/>
  </w:num>
  <w:num w:numId="24">
    <w:abstractNumId w:val="14"/>
  </w:num>
  <w:num w:numId="25">
    <w:abstractNumId w:val="4"/>
  </w:num>
  <w:num w:numId="26">
    <w:abstractNumId w:val="13"/>
  </w:num>
  <w:num w:numId="27">
    <w:abstractNumId w:val="0"/>
  </w:num>
  <w:num w:numId="28">
    <w:abstractNumId w:val="5"/>
  </w:num>
  <w:num w:numId="29">
    <w:abstractNumId w:val="20"/>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87"/>
    <w:rsid w:val="00007D32"/>
    <w:rsid w:val="00010B7E"/>
    <w:rsid w:val="00035987"/>
    <w:rsid w:val="00060D82"/>
    <w:rsid w:val="00061F38"/>
    <w:rsid w:val="000757BC"/>
    <w:rsid w:val="00083EEE"/>
    <w:rsid w:val="00083F9F"/>
    <w:rsid w:val="00085522"/>
    <w:rsid w:val="000857D1"/>
    <w:rsid w:val="00087778"/>
    <w:rsid w:val="00087CC5"/>
    <w:rsid w:val="000A5D2F"/>
    <w:rsid w:val="000A6B04"/>
    <w:rsid w:val="000B497D"/>
    <w:rsid w:val="000D6483"/>
    <w:rsid w:val="000E3AAE"/>
    <w:rsid w:val="00102E1B"/>
    <w:rsid w:val="001310A0"/>
    <w:rsid w:val="001313C8"/>
    <w:rsid w:val="001540C6"/>
    <w:rsid w:val="00163A87"/>
    <w:rsid w:val="00165580"/>
    <w:rsid w:val="00171FAA"/>
    <w:rsid w:val="00174D01"/>
    <w:rsid w:val="001810B3"/>
    <w:rsid w:val="001B4C8E"/>
    <w:rsid w:val="001C500B"/>
    <w:rsid w:val="001C7436"/>
    <w:rsid w:val="001D2F6C"/>
    <w:rsid w:val="001D6EDF"/>
    <w:rsid w:val="001E1EA6"/>
    <w:rsid w:val="001E3F4F"/>
    <w:rsid w:val="00200570"/>
    <w:rsid w:val="00201FE3"/>
    <w:rsid w:val="00207923"/>
    <w:rsid w:val="00222FF4"/>
    <w:rsid w:val="00241745"/>
    <w:rsid w:val="002518CD"/>
    <w:rsid w:val="00253D4B"/>
    <w:rsid w:val="00260CC0"/>
    <w:rsid w:val="00272F99"/>
    <w:rsid w:val="002A705D"/>
    <w:rsid w:val="002C00C1"/>
    <w:rsid w:val="002C2CB2"/>
    <w:rsid w:val="002C6799"/>
    <w:rsid w:val="002D6F02"/>
    <w:rsid w:val="002E1F95"/>
    <w:rsid w:val="002E224F"/>
    <w:rsid w:val="002F6F89"/>
    <w:rsid w:val="00302EDB"/>
    <w:rsid w:val="0031306A"/>
    <w:rsid w:val="00337860"/>
    <w:rsid w:val="00347F82"/>
    <w:rsid w:val="00354A0F"/>
    <w:rsid w:val="00355EE9"/>
    <w:rsid w:val="00364CB9"/>
    <w:rsid w:val="00364E5E"/>
    <w:rsid w:val="00383935"/>
    <w:rsid w:val="00384375"/>
    <w:rsid w:val="00392430"/>
    <w:rsid w:val="003A5532"/>
    <w:rsid w:val="003B6918"/>
    <w:rsid w:val="003D507E"/>
    <w:rsid w:val="0040557D"/>
    <w:rsid w:val="00405CF1"/>
    <w:rsid w:val="00444A15"/>
    <w:rsid w:val="0044644B"/>
    <w:rsid w:val="0046161E"/>
    <w:rsid w:val="00494C19"/>
    <w:rsid w:val="0049686F"/>
    <w:rsid w:val="00497515"/>
    <w:rsid w:val="004B0089"/>
    <w:rsid w:val="004D17D3"/>
    <w:rsid w:val="004E0D61"/>
    <w:rsid w:val="004F0206"/>
    <w:rsid w:val="004F761F"/>
    <w:rsid w:val="00504594"/>
    <w:rsid w:val="0051209B"/>
    <w:rsid w:val="0051789C"/>
    <w:rsid w:val="0054309E"/>
    <w:rsid w:val="00545DE3"/>
    <w:rsid w:val="0056227C"/>
    <w:rsid w:val="00562A3D"/>
    <w:rsid w:val="00566A48"/>
    <w:rsid w:val="005731E0"/>
    <w:rsid w:val="005800FE"/>
    <w:rsid w:val="005832BE"/>
    <w:rsid w:val="005A0925"/>
    <w:rsid w:val="005A1739"/>
    <w:rsid w:val="005B4A0E"/>
    <w:rsid w:val="005C59E7"/>
    <w:rsid w:val="005D2826"/>
    <w:rsid w:val="005D3543"/>
    <w:rsid w:val="005D4466"/>
    <w:rsid w:val="005D772F"/>
    <w:rsid w:val="005E7F96"/>
    <w:rsid w:val="005F37C7"/>
    <w:rsid w:val="00624A10"/>
    <w:rsid w:val="00634329"/>
    <w:rsid w:val="00642136"/>
    <w:rsid w:val="00652B3D"/>
    <w:rsid w:val="0065631E"/>
    <w:rsid w:val="00667F4B"/>
    <w:rsid w:val="00696804"/>
    <w:rsid w:val="006B01D0"/>
    <w:rsid w:val="006B6995"/>
    <w:rsid w:val="006D46A6"/>
    <w:rsid w:val="006E07CE"/>
    <w:rsid w:val="006E6CFD"/>
    <w:rsid w:val="006E7DB1"/>
    <w:rsid w:val="007007EF"/>
    <w:rsid w:val="007129CF"/>
    <w:rsid w:val="0073625C"/>
    <w:rsid w:val="00756A4A"/>
    <w:rsid w:val="00761BCA"/>
    <w:rsid w:val="007636C9"/>
    <w:rsid w:val="00782A26"/>
    <w:rsid w:val="00783743"/>
    <w:rsid w:val="007B44ED"/>
    <w:rsid w:val="007C2A04"/>
    <w:rsid w:val="007E0327"/>
    <w:rsid w:val="007E0ABC"/>
    <w:rsid w:val="007E186D"/>
    <w:rsid w:val="00800F6E"/>
    <w:rsid w:val="0080224E"/>
    <w:rsid w:val="00803BF6"/>
    <w:rsid w:val="0080413E"/>
    <w:rsid w:val="00822DC3"/>
    <w:rsid w:val="00826807"/>
    <w:rsid w:val="008448DC"/>
    <w:rsid w:val="00851A61"/>
    <w:rsid w:val="00872DA9"/>
    <w:rsid w:val="008734C2"/>
    <w:rsid w:val="008821B7"/>
    <w:rsid w:val="008830BC"/>
    <w:rsid w:val="008D09E0"/>
    <w:rsid w:val="008D4170"/>
    <w:rsid w:val="008E1520"/>
    <w:rsid w:val="008E173B"/>
    <w:rsid w:val="008F6AA1"/>
    <w:rsid w:val="008F73DA"/>
    <w:rsid w:val="00901504"/>
    <w:rsid w:val="00910DF9"/>
    <w:rsid w:val="00910F71"/>
    <w:rsid w:val="0092113F"/>
    <w:rsid w:val="0092498F"/>
    <w:rsid w:val="009324A8"/>
    <w:rsid w:val="00941A19"/>
    <w:rsid w:val="00942F3D"/>
    <w:rsid w:val="00977847"/>
    <w:rsid w:val="0099717C"/>
    <w:rsid w:val="009A03DD"/>
    <w:rsid w:val="009B3A8D"/>
    <w:rsid w:val="009B6D3A"/>
    <w:rsid w:val="009C65C7"/>
    <w:rsid w:val="009F0847"/>
    <w:rsid w:val="009F25AF"/>
    <w:rsid w:val="009F3669"/>
    <w:rsid w:val="009F69C9"/>
    <w:rsid w:val="00A11642"/>
    <w:rsid w:val="00A12519"/>
    <w:rsid w:val="00A42004"/>
    <w:rsid w:val="00A44F58"/>
    <w:rsid w:val="00A5756F"/>
    <w:rsid w:val="00A57D45"/>
    <w:rsid w:val="00A71EC2"/>
    <w:rsid w:val="00A90EE4"/>
    <w:rsid w:val="00A947C8"/>
    <w:rsid w:val="00AA0BA7"/>
    <w:rsid w:val="00AA50F9"/>
    <w:rsid w:val="00AA6A05"/>
    <w:rsid w:val="00AB505E"/>
    <w:rsid w:val="00AC18B2"/>
    <w:rsid w:val="00AC476F"/>
    <w:rsid w:val="00AE1D1A"/>
    <w:rsid w:val="00B079DB"/>
    <w:rsid w:val="00B1252A"/>
    <w:rsid w:val="00B12ACB"/>
    <w:rsid w:val="00B16B9E"/>
    <w:rsid w:val="00B211EF"/>
    <w:rsid w:val="00B55B38"/>
    <w:rsid w:val="00B711D8"/>
    <w:rsid w:val="00B93663"/>
    <w:rsid w:val="00B96126"/>
    <w:rsid w:val="00BA6753"/>
    <w:rsid w:val="00BB650A"/>
    <w:rsid w:val="00BB6EB3"/>
    <w:rsid w:val="00BE4FE9"/>
    <w:rsid w:val="00BF2DBC"/>
    <w:rsid w:val="00BF32EA"/>
    <w:rsid w:val="00BF392E"/>
    <w:rsid w:val="00BF534D"/>
    <w:rsid w:val="00BF6D96"/>
    <w:rsid w:val="00C030F4"/>
    <w:rsid w:val="00C1730C"/>
    <w:rsid w:val="00C2379C"/>
    <w:rsid w:val="00C265CF"/>
    <w:rsid w:val="00C352E8"/>
    <w:rsid w:val="00C4046B"/>
    <w:rsid w:val="00C45847"/>
    <w:rsid w:val="00C512A5"/>
    <w:rsid w:val="00C5344D"/>
    <w:rsid w:val="00C57098"/>
    <w:rsid w:val="00C83DE7"/>
    <w:rsid w:val="00C9414F"/>
    <w:rsid w:val="00C96984"/>
    <w:rsid w:val="00CC5353"/>
    <w:rsid w:val="00CD0EBB"/>
    <w:rsid w:val="00CD25B9"/>
    <w:rsid w:val="00CD34DF"/>
    <w:rsid w:val="00CD6134"/>
    <w:rsid w:val="00CD6FDC"/>
    <w:rsid w:val="00CE1606"/>
    <w:rsid w:val="00CE7188"/>
    <w:rsid w:val="00D152FF"/>
    <w:rsid w:val="00D221EA"/>
    <w:rsid w:val="00D255F3"/>
    <w:rsid w:val="00D271B8"/>
    <w:rsid w:val="00D33FBA"/>
    <w:rsid w:val="00D3710C"/>
    <w:rsid w:val="00D55921"/>
    <w:rsid w:val="00D62451"/>
    <w:rsid w:val="00D659F4"/>
    <w:rsid w:val="00D66F6E"/>
    <w:rsid w:val="00D7270D"/>
    <w:rsid w:val="00D82352"/>
    <w:rsid w:val="00D82DDE"/>
    <w:rsid w:val="00D8526A"/>
    <w:rsid w:val="00D87107"/>
    <w:rsid w:val="00D96D47"/>
    <w:rsid w:val="00DA31D8"/>
    <w:rsid w:val="00DA38AE"/>
    <w:rsid w:val="00DA3C8C"/>
    <w:rsid w:val="00DA4A2B"/>
    <w:rsid w:val="00DA67F5"/>
    <w:rsid w:val="00DC6677"/>
    <w:rsid w:val="00DD549A"/>
    <w:rsid w:val="00DD64B3"/>
    <w:rsid w:val="00DE2B59"/>
    <w:rsid w:val="00DE4C7F"/>
    <w:rsid w:val="00DE5B1E"/>
    <w:rsid w:val="00E045FB"/>
    <w:rsid w:val="00E05B96"/>
    <w:rsid w:val="00E11F9D"/>
    <w:rsid w:val="00E16188"/>
    <w:rsid w:val="00E333C1"/>
    <w:rsid w:val="00E4034A"/>
    <w:rsid w:val="00E464FF"/>
    <w:rsid w:val="00E5747F"/>
    <w:rsid w:val="00E706C4"/>
    <w:rsid w:val="00E75BA8"/>
    <w:rsid w:val="00E875AA"/>
    <w:rsid w:val="00E97B43"/>
    <w:rsid w:val="00EA67AC"/>
    <w:rsid w:val="00EB04DC"/>
    <w:rsid w:val="00EB378A"/>
    <w:rsid w:val="00EB4CBC"/>
    <w:rsid w:val="00EC12D4"/>
    <w:rsid w:val="00ED0651"/>
    <w:rsid w:val="00EF6EB2"/>
    <w:rsid w:val="00F02EE0"/>
    <w:rsid w:val="00F038B0"/>
    <w:rsid w:val="00F04061"/>
    <w:rsid w:val="00F20E37"/>
    <w:rsid w:val="00F3486B"/>
    <w:rsid w:val="00F40BA5"/>
    <w:rsid w:val="00F4680B"/>
    <w:rsid w:val="00F532A6"/>
    <w:rsid w:val="00F54DC8"/>
    <w:rsid w:val="00F610F6"/>
    <w:rsid w:val="00F62844"/>
    <w:rsid w:val="00F86811"/>
    <w:rsid w:val="00F94D25"/>
    <w:rsid w:val="00FA4949"/>
    <w:rsid w:val="00FA75C7"/>
    <w:rsid w:val="00FB05FB"/>
    <w:rsid w:val="00FB61F0"/>
    <w:rsid w:val="00FE0236"/>
    <w:rsid w:val="00FE0863"/>
    <w:rsid w:val="00FE66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A4E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da-DK"/>
    </w:rPr>
  </w:style>
  <w:style w:type="paragraph" w:styleId="Heading1">
    <w:name w:val="heading 1"/>
    <w:basedOn w:val="Normal"/>
    <w:next w:val="Normal"/>
    <w:link w:val="Heading1Char"/>
    <w:uiPriority w:val="9"/>
    <w:qFormat/>
    <w:rsid w:val="00910DF9"/>
    <w:pPr>
      <w:keepNext/>
      <w:numPr>
        <w:numId w:val="5"/>
      </w:numPr>
      <w:spacing w:before="240" w:after="60"/>
      <w:outlineLvl w:val="0"/>
    </w:pPr>
    <w:rPr>
      <w:rFonts w:ascii="Trebuchet MS" w:hAnsi="Trebuchet MS"/>
      <w:b/>
      <w:bCs/>
      <w:color w:val="D60093"/>
      <w:kern w:val="32"/>
      <w:sz w:val="32"/>
      <w:szCs w:val="32"/>
      <w:lang w:val="de-DE"/>
    </w:rPr>
  </w:style>
  <w:style w:type="paragraph" w:styleId="Heading2">
    <w:name w:val="heading 2"/>
    <w:basedOn w:val="Normal"/>
    <w:next w:val="Normal"/>
    <w:link w:val="Heading2Char"/>
    <w:uiPriority w:val="9"/>
    <w:qFormat/>
    <w:rsid w:val="0092113F"/>
    <w:pPr>
      <w:keepNext/>
      <w:numPr>
        <w:numId w:val="16"/>
      </w:numPr>
      <w:spacing w:before="240" w:after="60"/>
      <w:outlineLvl w:val="1"/>
    </w:pPr>
    <w:rPr>
      <w:rFonts w:ascii="Trebuchet MS" w:hAnsi="Trebuchet MS"/>
      <w:b/>
      <w:bCs/>
      <w:color w:val="D60093"/>
      <w:kern w:val="32"/>
      <w:sz w:val="32"/>
      <w:szCs w:val="32"/>
      <w:lang w:val="en-GB"/>
    </w:rPr>
  </w:style>
  <w:style w:type="paragraph" w:styleId="Heading3">
    <w:name w:val="heading 3"/>
    <w:basedOn w:val="Normal"/>
    <w:next w:val="Normal"/>
    <w:link w:val="Heading3Char"/>
    <w:semiHidden/>
    <w:unhideWhenUsed/>
    <w:qFormat/>
    <w:rsid w:val="007B44E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910DF9"/>
    <w:pPr>
      <w:keepNext/>
      <w:numPr>
        <w:ilvl w:val="3"/>
        <w:numId w:val="5"/>
      </w:numPr>
      <w:spacing w:before="240" w:after="60"/>
      <w:outlineLvl w:val="3"/>
    </w:pPr>
    <w:rPr>
      <w:rFonts w:ascii="Calibri" w:hAnsi="Calibri"/>
      <w:b/>
      <w:bCs/>
      <w:sz w:val="28"/>
      <w:szCs w:val="28"/>
      <w:lang w:val="de-DE"/>
    </w:rPr>
  </w:style>
  <w:style w:type="paragraph" w:styleId="Heading5">
    <w:name w:val="heading 5"/>
    <w:basedOn w:val="Normal"/>
    <w:next w:val="Normal"/>
    <w:link w:val="Heading5Char"/>
    <w:uiPriority w:val="9"/>
    <w:qFormat/>
    <w:rsid w:val="00910DF9"/>
    <w:pPr>
      <w:numPr>
        <w:ilvl w:val="4"/>
        <w:numId w:val="5"/>
      </w:numPr>
      <w:spacing w:before="240" w:after="60"/>
      <w:outlineLvl w:val="4"/>
    </w:pPr>
    <w:rPr>
      <w:rFonts w:ascii="Calibri" w:hAnsi="Calibri"/>
      <w:b/>
      <w:bCs/>
      <w:i/>
      <w:iCs/>
      <w:sz w:val="26"/>
      <w:szCs w:val="26"/>
      <w:lang w:val="de-DE"/>
    </w:rPr>
  </w:style>
  <w:style w:type="paragraph" w:styleId="Heading6">
    <w:name w:val="heading 6"/>
    <w:basedOn w:val="Normal"/>
    <w:next w:val="Normal"/>
    <w:link w:val="Heading6Char"/>
    <w:uiPriority w:val="9"/>
    <w:qFormat/>
    <w:rsid w:val="00910DF9"/>
    <w:pPr>
      <w:numPr>
        <w:ilvl w:val="5"/>
        <w:numId w:val="5"/>
      </w:numPr>
      <w:spacing w:before="240" w:after="60"/>
      <w:outlineLvl w:val="5"/>
    </w:pPr>
    <w:rPr>
      <w:rFonts w:ascii="Calibri" w:hAnsi="Calibri"/>
      <w:b/>
      <w:bCs/>
      <w:sz w:val="22"/>
      <w:szCs w:val="22"/>
      <w:lang w:val="de-DE"/>
    </w:rPr>
  </w:style>
  <w:style w:type="paragraph" w:styleId="Heading7">
    <w:name w:val="heading 7"/>
    <w:basedOn w:val="Normal"/>
    <w:next w:val="Normal"/>
    <w:link w:val="Heading7Char"/>
    <w:uiPriority w:val="9"/>
    <w:qFormat/>
    <w:rsid w:val="00910DF9"/>
    <w:pPr>
      <w:numPr>
        <w:ilvl w:val="6"/>
        <w:numId w:val="5"/>
      </w:numPr>
      <w:spacing w:before="240" w:after="60"/>
      <w:outlineLvl w:val="6"/>
    </w:pPr>
    <w:rPr>
      <w:rFonts w:ascii="Calibri" w:hAnsi="Calibri"/>
      <w:lang w:val="de-DE"/>
    </w:rPr>
  </w:style>
  <w:style w:type="paragraph" w:styleId="Heading8">
    <w:name w:val="heading 8"/>
    <w:basedOn w:val="Normal"/>
    <w:next w:val="Normal"/>
    <w:link w:val="Heading8Char"/>
    <w:uiPriority w:val="9"/>
    <w:qFormat/>
    <w:rsid w:val="00910DF9"/>
    <w:pPr>
      <w:numPr>
        <w:ilvl w:val="7"/>
        <w:numId w:val="5"/>
      </w:numPr>
      <w:spacing w:before="240" w:after="60"/>
      <w:outlineLvl w:val="7"/>
    </w:pPr>
    <w:rPr>
      <w:rFonts w:ascii="Calibri" w:hAnsi="Calibri"/>
      <w:i/>
      <w:iCs/>
      <w:lang w:val="de-DE"/>
    </w:rPr>
  </w:style>
  <w:style w:type="paragraph" w:styleId="Heading9">
    <w:name w:val="heading 9"/>
    <w:basedOn w:val="Normal"/>
    <w:next w:val="Normal"/>
    <w:link w:val="Heading9Char"/>
    <w:qFormat/>
    <w:rsid w:val="00910DF9"/>
    <w:pPr>
      <w:numPr>
        <w:ilvl w:val="8"/>
        <w:numId w:val="5"/>
      </w:numPr>
      <w:spacing w:before="240" w:after="120"/>
      <w:outlineLvl w:val="8"/>
    </w:pPr>
    <w:rPr>
      <w:rFonts w:ascii="Trebuchet MS" w:eastAsia="Cambria" w:hAnsi="Trebuchet MS" w:cs="Arial"/>
      <w:b/>
      <w:bCs/>
      <w:color w:val="D60093"/>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ESPON Footnote No,Footnote"/>
    <w:rsid w:val="00035987"/>
    <w:rPr>
      <w:vertAlign w:val="superscript"/>
    </w:rPr>
  </w:style>
  <w:style w:type="paragraph" w:styleId="FootnoteText">
    <w:name w:val="footnote text"/>
    <w:aliases w:val="ESPON Footnote Text"/>
    <w:basedOn w:val="Normal"/>
    <w:link w:val="FootnoteTextChar"/>
    <w:rsid w:val="00035987"/>
    <w:pPr>
      <w:spacing w:after="200"/>
    </w:pPr>
    <w:rPr>
      <w:rFonts w:ascii="Times" w:eastAsia="Cambria" w:hAnsi="Times"/>
      <w:sz w:val="20"/>
      <w:szCs w:val="20"/>
      <w:lang w:val="de-DE" w:eastAsia="de-DE"/>
    </w:rPr>
  </w:style>
  <w:style w:type="table" w:styleId="TableGrid">
    <w:name w:val="Table Grid"/>
    <w:basedOn w:val="TableNormal"/>
    <w:rsid w:val="00035987"/>
    <w:pPr>
      <w:spacing w:after="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7270D"/>
    <w:rPr>
      <w:rFonts w:ascii="Tahoma" w:hAnsi="Tahoma" w:cs="Tahoma"/>
      <w:sz w:val="16"/>
      <w:szCs w:val="16"/>
    </w:rPr>
  </w:style>
  <w:style w:type="paragraph" w:styleId="CommentText">
    <w:name w:val="annotation text"/>
    <w:basedOn w:val="Normal"/>
    <w:link w:val="CommentTextChar"/>
    <w:rsid w:val="00CD25B9"/>
    <w:pPr>
      <w:spacing w:after="200"/>
    </w:pPr>
    <w:rPr>
      <w:sz w:val="20"/>
      <w:szCs w:val="20"/>
      <w:lang w:val="en-GB" w:eastAsia="x-none"/>
    </w:rPr>
  </w:style>
  <w:style w:type="character" w:customStyle="1" w:styleId="CommentTextChar">
    <w:name w:val="Comment Text Char"/>
    <w:link w:val="CommentText"/>
    <w:rsid w:val="00CD25B9"/>
    <w:rPr>
      <w:lang w:val="en-GB" w:eastAsia="x-none"/>
    </w:rPr>
  </w:style>
  <w:style w:type="character" w:styleId="CommentReference">
    <w:name w:val="annotation reference"/>
    <w:rsid w:val="00B93663"/>
    <w:rPr>
      <w:sz w:val="16"/>
      <w:szCs w:val="16"/>
    </w:rPr>
  </w:style>
  <w:style w:type="character" w:customStyle="1" w:styleId="Heading1Char">
    <w:name w:val="Heading 1 Char"/>
    <w:link w:val="Heading1"/>
    <w:uiPriority w:val="9"/>
    <w:rsid w:val="00910DF9"/>
    <w:rPr>
      <w:rFonts w:ascii="Trebuchet MS" w:hAnsi="Trebuchet MS"/>
      <w:b/>
      <w:bCs/>
      <w:color w:val="D60093"/>
      <w:kern w:val="32"/>
      <w:sz w:val="32"/>
      <w:szCs w:val="32"/>
      <w:lang w:val="de-DE" w:eastAsia="en-US"/>
    </w:rPr>
  </w:style>
  <w:style w:type="character" w:customStyle="1" w:styleId="Heading4Char">
    <w:name w:val="Heading 4 Char"/>
    <w:link w:val="Heading4"/>
    <w:uiPriority w:val="9"/>
    <w:rsid w:val="00910DF9"/>
    <w:rPr>
      <w:rFonts w:ascii="Calibri" w:hAnsi="Calibri"/>
      <w:b/>
      <w:bCs/>
      <w:sz w:val="28"/>
      <w:szCs w:val="28"/>
      <w:lang w:val="de-DE" w:eastAsia="en-US"/>
    </w:rPr>
  </w:style>
  <w:style w:type="character" w:customStyle="1" w:styleId="Heading5Char">
    <w:name w:val="Heading 5 Char"/>
    <w:link w:val="Heading5"/>
    <w:uiPriority w:val="9"/>
    <w:rsid w:val="00910DF9"/>
    <w:rPr>
      <w:rFonts w:ascii="Calibri" w:hAnsi="Calibri"/>
      <w:b/>
      <w:bCs/>
      <w:i/>
      <w:iCs/>
      <w:sz w:val="26"/>
      <w:szCs w:val="26"/>
      <w:lang w:val="de-DE" w:eastAsia="en-US"/>
    </w:rPr>
  </w:style>
  <w:style w:type="character" w:customStyle="1" w:styleId="Heading6Char">
    <w:name w:val="Heading 6 Char"/>
    <w:link w:val="Heading6"/>
    <w:uiPriority w:val="9"/>
    <w:rsid w:val="00910DF9"/>
    <w:rPr>
      <w:rFonts w:ascii="Calibri" w:hAnsi="Calibri"/>
      <w:b/>
      <w:bCs/>
      <w:sz w:val="22"/>
      <w:szCs w:val="22"/>
      <w:lang w:val="de-DE" w:eastAsia="en-US"/>
    </w:rPr>
  </w:style>
  <w:style w:type="character" w:customStyle="1" w:styleId="Heading7Char">
    <w:name w:val="Heading 7 Char"/>
    <w:link w:val="Heading7"/>
    <w:uiPriority w:val="9"/>
    <w:rsid w:val="00910DF9"/>
    <w:rPr>
      <w:rFonts w:ascii="Calibri" w:hAnsi="Calibri"/>
      <w:sz w:val="24"/>
      <w:szCs w:val="24"/>
      <w:lang w:val="de-DE" w:eastAsia="en-US"/>
    </w:rPr>
  </w:style>
  <w:style w:type="character" w:customStyle="1" w:styleId="Heading8Char">
    <w:name w:val="Heading 8 Char"/>
    <w:link w:val="Heading8"/>
    <w:uiPriority w:val="9"/>
    <w:rsid w:val="00910DF9"/>
    <w:rPr>
      <w:rFonts w:ascii="Calibri" w:hAnsi="Calibri"/>
      <w:i/>
      <w:iCs/>
      <w:sz w:val="24"/>
      <w:szCs w:val="24"/>
      <w:lang w:val="de-DE" w:eastAsia="en-US"/>
    </w:rPr>
  </w:style>
  <w:style w:type="character" w:customStyle="1" w:styleId="Heading9Char">
    <w:name w:val="Heading 9 Char"/>
    <w:link w:val="Heading9"/>
    <w:rsid w:val="00910DF9"/>
    <w:rPr>
      <w:rFonts w:ascii="Trebuchet MS" w:eastAsia="Cambria" w:hAnsi="Trebuchet MS" w:cs="Arial"/>
      <w:b/>
      <w:bCs/>
      <w:color w:val="D60093"/>
      <w:sz w:val="28"/>
      <w:szCs w:val="28"/>
      <w:lang w:val="en-GB" w:eastAsia="en-US"/>
    </w:rPr>
  </w:style>
  <w:style w:type="paragraph" w:customStyle="1" w:styleId="Akapitzlist">
    <w:name w:val="Akapit z listą"/>
    <w:basedOn w:val="Normal"/>
    <w:link w:val="AkapitzlistZnak"/>
    <w:uiPriority w:val="34"/>
    <w:qFormat/>
    <w:rsid w:val="00910DF9"/>
    <w:pPr>
      <w:ind w:left="720"/>
      <w:contextualSpacing/>
    </w:pPr>
    <w:rPr>
      <w:rFonts w:ascii="Trebuchet MS" w:hAnsi="Trebuchet MS"/>
      <w:sz w:val="20"/>
      <w:lang w:val="de-DE" w:eastAsia="de-DE"/>
    </w:rPr>
  </w:style>
  <w:style w:type="character" w:customStyle="1" w:styleId="AkapitzlistZnak">
    <w:name w:val="Akapit z listą Znak"/>
    <w:link w:val="Akapitzlist"/>
    <w:uiPriority w:val="99"/>
    <w:rsid w:val="00910DF9"/>
    <w:rPr>
      <w:rFonts w:ascii="Trebuchet MS" w:hAnsi="Trebuchet MS"/>
      <w:szCs w:val="24"/>
      <w:lang w:val="de-DE" w:eastAsia="de-DE"/>
    </w:rPr>
  </w:style>
  <w:style w:type="character" w:customStyle="1" w:styleId="FootnoteTextChar">
    <w:name w:val="Footnote Text Char"/>
    <w:aliases w:val="ESPON Footnote Text Char"/>
    <w:link w:val="FootnoteText"/>
    <w:rsid w:val="00910DF9"/>
    <w:rPr>
      <w:rFonts w:ascii="Times" w:eastAsia="Cambria" w:hAnsi="Times"/>
      <w:lang w:val="de-DE" w:eastAsia="de-DE"/>
    </w:rPr>
  </w:style>
  <w:style w:type="paragraph" w:styleId="CommentSubject">
    <w:name w:val="annotation subject"/>
    <w:basedOn w:val="CommentText"/>
    <w:next w:val="CommentText"/>
    <w:link w:val="CommentSubjectChar"/>
    <w:rsid w:val="00200570"/>
    <w:pPr>
      <w:spacing w:after="0"/>
    </w:pPr>
    <w:rPr>
      <w:b/>
      <w:bCs/>
      <w:lang w:val="da-DK" w:eastAsia="en-US"/>
    </w:rPr>
  </w:style>
  <w:style w:type="character" w:customStyle="1" w:styleId="CommentSubjectChar">
    <w:name w:val="Comment Subject Char"/>
    <w:link w:val="CommentSubject"/>
    <w:rsid w:val="00200570"/>
    <w:rPr>
      <w:b/>
      <w:bCs/>
      <w:lang w:val="da-DK" w:eastAsia="en-US"/>
    </w:rPr>
  </w:style>
  <w:style w:type="character" w:customStyle="1" w:styleId="Heading2Char">
    <w:name w:val="Heading 2 Char"/>
    <w:link w:val="Heading2"/>
    <w:uiPriority w:val="9"/>
    <w:rsid w:val="0092113F"/>
    <w:rPr>
      <w:rFonts w:ascii="Trebuchet MS" w:hAnsi="Trebuchet MS"/>
      <w:b/>
      <w:bCs/>
      <w:color w:val="D60093"/>
      <w:kern w:val="32"/>
      <w:sz w:val="32"/>
      <w:szCs w:val="32"/>
      <w:lang w:val="en-GB" w:eastAsia="en-US"/>
    </w:rPr>
  </w:style>
  <w:style w:type="character" w:customStyle="1" w:styleId="Heading3Char">
    <w:name w:val="Heading 3 Char"/>
    <w:link w:val="Heading3"/>
    <w:semiHidden/>
    <w:rsid w:val="007B44ED"/>
    <w:rPr>
      <w:rFonts w:ascii="Cambria" w:eastAsia="Times New Roman" w:hAnsi="Cambria" w:cs="Times New Roman"/>
      <w:b/>
      <w:bCs/>
      <w:sz w:val="26"/>
      <w:szCs w:val="26"/>
      <w:lang w:val="da-DK" w:eastAsia="en-US"/>
    </w:rPr>
  </w:style>
  <w:style w:type="paragraph" w:styleId="Header">
    <w:name w:val="header"/>
    <w:basedOn w:val="Normal"/>
    <w:link w:val="HeaderChar"/>
    <w:uiPriority w:val="99"/>
    <w:rsid w:val="009F25AF"/>
    <w:pPr>
      <w:tabs>
        <w:tab w:val="center" w:pos="4536"/>
        <w:tab w:val="right" w:pos="9072"/>
      </w:tabs>
      <w:spacing w:after="200"/>
    </w:pPr>
    <w:rPr>
      <w:lang w:val="en-GB"/>
    </w:rPr>
  </w:style>
  <w:style w:type="character" w:customStyle="1" w:styleId="HeaderChar">
    <w:name w:val="Header Char"/>
    <w:link w:val="Header"/>
    <w:uiPriority w:val="99"/>
    <w:rsid w:val="009F25AF"/>
    <w:rPr>
      <w:sz w:val="24"/>
      <w:szCs w:val="24"/>
      <w:lang w:val="en-GB" w:eastAsia="en-US"/>
    </w:rPr>
  </w:style>
  <w:style w:type="paragraph" w:styleId="Footer">
    <w:name w:val="footer"/>
    <w:basedOn w:val="Normal"/>
    <w:link w:val="FooterChar"/>
    <w:rsid w:val="00822DC3"/>
    <w:pPr>
      <w:tabs>
        <w:tab w:val="center" w:pos="4536"/>
        <w:tab w:val="right" w:pos="9072"/>
      </w:tabs>
      <w:spacing w:after="200"/>
    </w:pPr>
    <w:rPr>
      <w:lang w:val="x-none"/>
    </w:rPr>
  </w:style>
  <w:style w:type="character" w:customStyle="1" w:styleId="FooterChar">
    <w:name w:val="Footer Char"/>
    <w:link w:val="Footer"/>
    <w:rsid w:val="00822DC3"/>
    <w:rPr>
      <w:sz w:val="24"/>
      <w:szCs w:val="24"/>
      <w:lang w:val="x-none" w:eastAsia="en-US"/>
    </w:rPr>
  </w:style>
  <w:style w:type="paragraph" w:styleId="ListParagraph">
    <w:name w:val="List Paragraph"/>
    <w:basedOn w:val="Normal"/>
    <w:uiPriority w:val="72"/>
    <w:rsid w:val="00F3486B"/>
    <w:pPr>
      <w:ind w:left="720"/>
      <w:contextualSpacing/>
    </w:pPr>
  </w:style>
  <w:style w:type="paragraph" w:customStyle="1" w:styleId="Headline">
    <w:name w:val="Headline"/>
    <w:basedOn w:val="Normal"/>
    <w:next w:val="Normal"/>
    <w:rsid w:val="00AA0BA7"/>
    <w:pPr>
      <w:spacing w:after="200"/>
      <w:outlineLvl w:val="0"/>
    </w:pPr>
    <w:rPr>
      <w:rFonts w:ascii="Trebuchet MS Bold" w:eastAsia="Cambria" w:hAnsi="Trebuchet MS Bold"/>
      <w:color w:val="003777"/>
      <w:sz w:val="60"/>
      <w:lang w:val="de-DE"/>
    </w:rPr>
  </w:style>
  <w:style w:type="paragraph" w:customStyle="1" w:styleId="ListParagraph1">
    <w:name w:val="List Paragraph1"/>
    <w:basedOn w:val="Normal"/>
    <w:link w:val="ListParagraphChar"/>
    <w:uiPriority w:val="99"/>
    <w:qFormat/>
    <w:rsid w:val="00AA0BA7"/>
    <w:pPr>
      <w:ind w:left="720"/>
      <w:contextualSpacing/>
    </w:pPr>
    <w:rPr>
      <w:rFonts w:ascii="Trebuchet MS" w:hAnsi="Trebuchet MS"/>
      <w:sz w:val="20"/>
      <w:lang w:val="x-none" w:eastAsia="x-none"/>
    </w:rPr>
  </w:style>
  <w:style w:type="character" w:customStyle="1" w:styleId="ListParagraphChar">
    <w:name w:val="List Paragraph Char"/>
    <w:link w:val="ListParagraph1"/>
    <w:uiPriority w:val="99"/>
    <w:rsid w:val="00AA0BA7"/>
    <w:rPr>
      <w:rFonts w:ascii="Trebuchet MS" w:hAnsi="Trebuchet MS"/>
      <w:szCs w:val="24"/>
      <w:lang w:val="x-none" w:eastAsia="x-none"/>
    </w:rPr>
  </w:style>
  <w:style w:type="character" w:customStyle="1" w:styleId="Corpsdutexte3">
    <w:name w:val="Corps du texte (3)_"/>
    <w:link w:val="Corpsdutexte30"/>
    <w:uiPriority w:val="99"/>
    <w:locked/>
    <w:rsid w:val="004B0089"/>
    <w:rPr>
      <w:b/>
      <w:bCs/>
      <w:sz w:val="23"/>
      <w:szCs w:val="23"/>
      <w:shd w:val="clear" w:color="auto" w:fill="FFFFFF"/>
      <w:lang w:val="fr-FR" w:eastAsia="fr-FR"/>
    </w:rPr>
  </w:style>
  <w:style w:type="paragraph" w:customStyle="1" w:styleId="Corpsdutexte30">
    <w:name w:val="Corps du texte (3)"/>
    <w:basedOn w:val="Normal"/>
    <w:link w:val="Corpsdutexte3"/>
    <w:uiPriority w:val="99"/>
    <w:rsid w:val="004B0089"/>
    <w:pPr>
      <w:widowControl w:val="0"/>
      <w:shd w:val="clear" w:color="auto" w:fill="FFFFFF"/>
      <w:spacing w:before="4440" w:line="514" w:lineRule="exact"/>
      <w:jc w:val="center"/>
    </w:pPr>
    <w:rPr>
      <w:b/>
      <w:bCs/>
      <w:sz w:val="23"/>
      <w:szCs w:val="23"/>
      <w:lang w:val="fr-FR" w:eastAsia="fr-FR"/>
    </w:rPr>
  </w:style>
  <w:style w:type="character" w:customStyle="1" w:styleId="Corpsdutexte">
    <w:name w:val="Corps du texte_"/>
    <w:link w:val="Corpsdutexte1"/>
    <w:uiPriority w:val="99"/>
    <w:locked/>
    <w:rsid w:val="00DA4A2B"/>
    <w:rPr>
      <w:sz w:val="23"/>
      <w:szCs w:val="23"/>
      <w:shd w:val="clear" w:color="auto" w:fill="FFFFFF"/>
    </w:rPr>
  </w:style>
  <w:style w:type="paragraph" w:customStyle="1" w:styleId="Corpsdutexte1">
    <w:name w:val="Corps du texte1"/>
    <w:basedOn w:val="Normal"/>
    <w:link w:val="Corpsdutexte"/>
    <w:uiPriority w:val="99"/>
    <w:rsid w:val="00DA4A2B"/>
    <w:pPr>
      <w:widowControl w:val="0"/>
      <w:shd w:val="clear" w:color="auto" w:fill="FFFFFF"/>
      <w:spacing w:before="420" w:after="120" w:line="274" w:lineRule="exact"/>
      <w:ind w:hanging="680"/>
      <w:jc w:val="both"/>
    </w:pPr>
    <w:rPr>
      <w:sz w:val="23"/>
      <w:szCs w:val="23"/>
      <w:lang w:val="en-GB"/>
    </w:rPr>
  </w:style>
  <w:style w:type="paragraph" w:customStyle="1" w:styleId="Entry1withLine">
    <w:name w:val="Entry 1 with Line"/>
    <w:next w:val="Normal"/>
    <w:qFormat/>
    <w:rsid w:val="008821B7"/>
    <w:pPr>
      <w:pBdr>
        <w:bottom w:val="single" w:sz="4" w:space="10" w:color="262727"/>
        <w:between w:val="single" w:sz="4" w:space="1" w:color="262727"/>
      </w:pBdr>
      <w:tabs>
        <w:tab w:val="left" w:pos="1843"/>
        <w:tab w:val="left" w:pos="2124"/>
        <w:tab w:val="left" w:pos="2832"/>
        <w:tab w:val="left" w:pos="6980"/>
      </w:tabs>
      <w:spacing w:after="200"/>
    </w:pPr>
    <w:rPr>
      <w:rFonts w:ascii="Arial" w:eastAsia="Cambria" w:hAnsi="Arial"/>
      <w:color w:val="262727"/>
      <w:sz w:val="24"/>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da-DK"/>
    </w:rPr>
  </w:style>
  <w:style w:type="paragraph" w:styleId="Heading1">
    <w:name w:val="heading 1"/>
    <w:basedOn w:val="Normal"/>
    <w:next w:val="Normal"/>
    <w:link w:val="Heading1Char"/>
    <w:uiPriority w:val="9"/>
    <w:qFormat/>
    <w:rsid w:val="00910DF9"/>
    <w:pPr>
      <w:keepNext/>
      <w:numPr>
        <w:numId w:val="5"/>
      </w:numPr>
      <w:spacing w:before="240" w:after="60"/>
      <w:outlineLvl w:val="0"/>
    </w:pPr>
    <w:rPr>
      <w:rFonts w:ascii="Trebuchet MS" w:hAnsi="Trebuchet MS"/>
      <w:b/>
      <w:bCs/>
      <w:color w:val="D60093"/>
      <w:kern w:val="32"/>
      <w:sz w:val="32"/>
      <w:szCs w:val="32"/>
      <w:lang w:val="de-DE"/>
    </w:rPr>
  </w:style>
  <w:style w:type="paragraph" w:styleId="Heading2">
    <w:name w:val="heading 2"/>
    <w:basedOn w:val="Normal"/>
    <w:next w:val="Normal"/>
    <w:link w:val="Heading2Char"/>
    <w:uiPriority w:val="9"/>
    <w:qFormat/>
    <w:rsid w:val="0092113F"/>
    <w:pPr>
      <w:keepNext/>
      <w:numPr>
        <w:numId w:val="16"/>
      </w:numPr>
      <w:spacing w:before="240" w:after="60"/>
      <w:outlineLvl w:val="1"/>
    </w:pPr>
    <w:rPr>
      <w:rFonts w:ascii="Trebuchet MS" w:hAnsi="Trebuchet MS"/>
      <w:b/>
      <w:bCs/>
      <w:color w:val="D60093"/>
      <w:kern w:val="32"/>
      <w:sz w:val="32"/>
      <w:szCs w:val="32"/>
      <w:lang w:val="en-GB"/>
    </w:rPr>
  </w:style>
  <w:style w:type="paragraph" w:styleId="Heading3">
    <w:name w:val="heading 3"/>
    <w:basedOn w:val="Normal"/>
    <w:next w:val="Normal"/>
    <w:link w:val="Heading3Char"/>
    <w:semiHidden/>
    <w:unhideWhenUsed/>
    <w:qFormat/>
    <w:rsid w:val="007B44E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910DF9"/>
    <w:pPr>
      <w:keepNext/>
      <w:numPr>
        <w:ilvl w:val="3"/>
        <w:numId w:val="5"/>
      </w:numPr>
      <w:spacing w:before="240" w:after="60"/>
      <w:outlineLvl w:val="3"/>
    </w:pPr>
    <w:rPr>
      <w:rFonts w:ascii="Calibri" w:hAnsi="Calibri"/>
      <w:b/>
      <w:bCs/>
      <w:sz w:val="28"/>
      <w:szCs w:val="28"/>
      <w:lang w:val="de-DE"/>
    </w:rPr>
  </w:style>
  <w:style w:type="paragraph" w:styleId="Heading5">
    <w:name w:val="heading 5"/>
    <w:basedOn w:val="Normal"/>
    <w:next w:val="Normal"/>
    <w:link w:val="Heading5Char"/>
    <w:uiPriority w:val="9"/>
    <w:qFormat/>
    <w:rsid w:val="00910DF9"/>
    <w:pPr>
      <w:numPr>
        <w:ilvl w:val="4"/>
        <w:numId w:val="5"/>
      </w:numPr>
      <w:spacing w:before="240" w:after="60"/>
      <w:outlineLvl w:val="4"/>
    </w:pPr>
    <w:rPr>
      <w:rFonts w:ascii="Calibri" w:hAnsi="Calibri"/>
      <w:b/>
      <w:bCs/>
      <w:i/>
      <w:iCs/>
      <w:sz w:val="26"/>
      <w:szCs w:val="26"/>
      <w:lang w:val="de-DE"/>
    </w:rPr>
  </w:style>
  <w:style w:type="paragraph" w:styleId="Heading6">
    <w:name w:val="heading 6"/>
    <w:basedOn w:val="Normal"/>
    <w:next w:val="Normal"/>
    <w:link w:val="Heading6Char"/>
    <w:uiPriority w:val="9"/>
    <w:qFormat/>
    <w:rsid w:val="00910DF9"/>
    <w:pPr>
      <w:numPr>
        <w:ilvl w:val="5"/>
        <w:numId w:val="5"/>
      </w:numPr>
      <w:spacing w:before="240" w:after="60"/>
      <w:outlineLvl w:val="5"/>
    </w:pPr>
    <w:rPr>
      <w:rFonts w:ascii="Calibri" w:hAnsi="Calibri"/>
      <w:b/>
      <w:bCs/>
      <w:sz w:val="22"/>
      <w:szCs w:val="22"/>
      <w:lang w:val="de-DE"/>
    </w:rPr>
  </w:style>
  <w:style w:type="paragraph" w:styleId="Heading7">
    <w:name w:val="heading 7"/>
    <w:basedOn w:val="Normal"/>
    <w:next w:val="Normal"/>
    <w:link w:val="Heading7Char"/>
    <w:uiPriority w:val="9"/>
    <w:qFormat/>
    <w:rsid w:val="00910DF9"/>
    <w:pPr>
      <w:numPr>
        <w:ilvl w:val="6"/>
        <w:numId w:val="5"/>
      </w:numPr>
      <w:spacing w:before="240" w:after="60"/>
      <w:outlineLvl w:val="6"/>
    </w:pPr>
    <w:rPr>
      <w:rFonts w:ascii="Calibri" w:hAnsi="Calibri"/>
      <w:lang w:val="de-DE"/>
    </w:rPr>
  </w:style>
  <w:style w:type="paragraph" w:styleId="Heading8">
    <w:name w:val="heading 8"/>
    <w:basedOn w:val="Normal"/>
    <w:next w:val="Normal"/>
    <w:link w:val="Heading8Char"/>
    <w:uiPriority w:val="9"/>
    <w:qFormat/>
    <w:rsid w:val="00910DF9"/>
    <w:pPr>
      <w:numPr>
        <w:ilvl w:val="7"/>
        <w:numId w:val="5"/>
      </w:numPr>
      <w:spacing w:before="240" w:after="60"/>
      <w:outlineLvl w:val="7"/>
    </w:pPr>
    <w:rPr>
      <w:rFonts w:ascii="Calibri" w:hAnsi="Calibri"/>
      <w:i/>
      <w:iCs/>
      <w:lang w:val="de-DE"/>
    </w:rPr>
  </w:style>
  <w:style w:type="paragraph" w:styleId="Heading9">
    <w:name w:val="heading 9"/>
    <w:basedOn w:val="Normal"/>
    <w:next w:val="Normal"/>
    <w:link w:val="Heading9Char"/>
    <w:qFormat/>
    <w:rsid w:val="00910DF9"/>
    <w:pPr>
      <w:numPr>
        <w:ilvl w:val="8"/>
        <w:numId w:val="5"/>
      </w:numPr>
      <w:spacing w:before="240" w:after="120"/>
      <w:outlineLvl w:val="8"/>
    </w:pPr>
    <w:rPr>
      <w:rFonts w:ascii="Trebuchet MS" w:eastAsia="Cambria" w:hAnsi="Trebuchet MS" w:cs="Arial"/>
      <w:b/>
      <w:bCs/>
      <w:color w:val="D60093"/>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ESPON Footnote No,Footnote"/>
    <w:rsid w:val="00035987"/>
    <w:rPr>
      <w:vertAlign w:val="superscript"/>
    </w:rPr>
  </w:style>
  <w:style w:type="paragraph" w:styleId="FootnoteText">
    <w:name w:val="footnote text"/>
    <w:aliases w:val="ESPON Footnote Text"/>
    <w:basedOn w:val="Normal"/>
    <w:link w:val="FootnoteTextChar"/>
    <w:rsid w:val="00035987"/>
    <w:pPr>
      <w:spacing w:after="200"/>
    </w:pPr>
    <w:rPr>
      <w:rFonts w:ascii="Times" w:eastAsia="Cambria" w:hAnsi="Times"/>
      <w:sz w:val="20"/>
      <w:szCs w:val="20"/>
      <w:lang w:val="de-DE" w:eastAsia="de-DE"/>
    </w:rPr>
  </w:style>
  <w:style w:type="table" w:styleId="TableGrid">
    <w:name w:val="Table Grid"/>
    <w:basedOn w:val="TableNormal"/>
    <w:rsid w:val="00035987"/>
    <w:pPr>
      <w:spacing w:after="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7270D"/>
    <w:rPr>
      <w:rFonts w:ascii="Tahoma" w:hAnsi="Tahoma" w:cs="Tahoma"/>
      <w:sz w:val="16"/>
      <w:szCs w:val="16"/>
    </w:rPr>
  </w:style>
  <w:style w:type="paragraph" w:styleId="CommentText">
    <w:name w:val="annotation text"/>
    <w:basedOn w:val="Normal"/>
    <w:link w:val="CommentTextChar"/>
    <w:rsid w:val="00CD25B9"/>
    <w:pPr>
      <w:spacing w:after="200"/>
    </w:pPr>
    <w:rPr>
      <w:sz w:val="20"/>
      <w:szCs w:val="20"/>
      <w:lang w:val="en-GB" w:eastAsia="x-none"/>
    </w:rPr>
  </w:style>
  <w:style w:type="character" w:customStyle="1" w:styleId="CommentTextChar">
    <w:name w:val="Comment Text Char"/>
    <w:link w:val="CommentText"/>
    <w:rsid w:val="00CD25B9"/>
    <w:rPr>
      <w:lang w:val="en-GB" w:eastAsia="x-none"/>
    </w:rPr>
  </w:style>
  <w:style w:type="character" w:styleId="CommentReference">
    <w:name w:val="annotation reference"/>
    <w:rsid w:val="00B93663"/>
    <w:rPr>
      <w:sz w:val="16"/>
      <w:szCs w:val="16"/>
    </w:rPr>
  </w:style>
  <w:style w:type="character" w:customStyle="1" w:styleId="Heading1Char">
    <w:name w:val="Heading 1 Char"/>
    <w:link w:val="Heading1"/>
    <w:uiPriority w:val="9"/>
    <w:rsid w:val="00910DF9"/>
    <w:rPr>
      <w:rFonts w:ascii="Trebuchet MS" w:hAnsi="Trebuchet MS"/>
      <w:b/>
      <w:bCs/>
      <w:color w:val="D60093"/>
      <w:kern w:val="32"/>
      <w:sz w:val="32"/>
      <w:szCs w:val="32"/>
      <w:lang w:val="de-DE" w:eastAsia="en-US"/>
    </w:rPr>
  </w:style>
  <w:style w:type="character" w:customStyle="1" w:styleId="Heading4Char">
    <w:name w:val="Heading 4 Char"/>
    <w:link w:val="Heading4"/>
    <w:uiPriority w:val="9"/>
    <w:rsid w:val="00910DF9"/>
    <w:rPr>
      <w:rFonts w:ascii="Calibri" w:hAnsi="Calibri"/>
      <w:b/>
      <w:bCs/>
      <w:sz w:val="28"/>
      <w:szCs w:val="28"/>
      <w:lang w:val="de-DE" w:eastAsia="en-US"/>
    </w:rPr>
  </w:style>
  <w:style w:type="character" w:customStyle="1" w:styleId="Heading5Char">
    <w:name w:val="Heading 5 Char"/>
    <w:link w:val="Heading5"/>
    <w:uiPriority w:val="9"/>
    <w:rsid w:val="00910DF9"/>
    <w:rPr>
      <w:rFonts w:ascii="Calibri" w:hAnsi="Calibri"/>
      <w:b/>
      <w:bCs/>
      <w:i/>
      <w:iCs/>
      <w:sz w:val="26"/>
      <w:szCs w:val="26"/>
      <w:lang w:val="de-DE" w:eastAsia="en-US"/>
    </w:rPr>
  </w:style>
  <w:style w:type="character" w:customStyle="1" w:styleId="Heading6Char">
    <w:name w:val="Heading 6 Char"/>
    <w:link w:val="Heading6"/>
    <w:uiPriority w:val="9"/>
    <w:rsid w:val="00910DF9"/>
    <w:rPr>
      <w:rFonts w:ascii="Calibri" w:hAnsi="Calibri"/>
      <w:b/>
      <w:bCs/>
      <w:sz w:val="22"/>
      <w:szCs w:val="22"/>
      <w:lang w:val="de-DE" w:eastAsia="en-US"/>
    </w:rPr>
  </w:style>
  <w:style w:type="character" w:customStyle="1" w:styleId="Heading7Char">
    <w:name w:val="Heading 7 Char"/>
    <w:link w:val="Heading7"/>
    <w:uiPriority w:val="9"/>
    <w:rsid w:val="00910DF9"/>
    <w:rPr>
      <w:rFonts w:ascii="Calibri" w:hAnsi="Calibri"/>
      <w:sz w:val="24"/>
      <w:szCs w:val="24"/>
      <w:lang w:val="de-DE" w:eastAsia="en-US"/>
    </w:rPr>
  </w:style>
  <w:style w:type="character" w:customStyle="1" w:styleId="Heading8Char">
    <w:name w:val="Heading 8 Char"/>
    <w:link w:val="Heading8"/>
    <w:uiPriority w:val="9"/>
    <w:rsid w:val="00910DF9"/>
    <w:rPr>
      <w:rFonts w:ascii="Calibri" w:hAnsi="Calibri"/>
      <w:i/>
      <w:iCs/>
      <w:sz w:val="24"/>
      <w:szCs w:val="24"/>
      <w:lang w:val="de-DE" w:eastAsia="en-US"/>
    </w:rPr>
  </w:style>
  <w:style w:type="character" w:customStyle="1" w:styleId="Heading9Char">
    <w:name w:val="Heading 9 Char"/>
    <w:link w:val="Heading9"/>
    <w:rsid w:val="00910DF9"/>
    <w:rPr>
      <w:rFonts w:ascii="Trebuchet MS" w:eastAsia="Cambria" w:hAnsi="Trebuchet MS" w:cs="Arial"/>
      <w:b/>
      <w:bCs/>
      <w:color w:val="D60093"/>
      <w:sz w:val="28"/>
      <w:szCs w:val="28"/>
      <w:lang w:val="en-GB" w:eastAsia="en-US"/>
    </w:rPr>
  </w:style>
  <w:style w:type="paragraph" w:customStyle="1" w:styleId="Akapitzlist">
    <w:name w:val="Akapit z listą"/>
    <w:basedOn w:val="Normal"/>
    <w:link w:val="AkapitzlistZnak"/>
    <w:uiPriority w:val="34"/>
    <w:qFormat/>
    <w:rsid w:val="00910DF9"/>
    <w:pPr>
      <w:ind w:left="720"/>
      <w:contextualSpacing/>
    </w:pPr>
    <w:rPr>
      <w:rFonts w:ascii="Trebuchet MS" w:hAnsi="Trebuchet MS"/>
      <w:sz w:val="20"/>
      <w:lang w:val="de-DE" w:eastAsia="de-DE"/>
    </w:rPr>
  </w:style>
  <w:style w:type="character" w:customStyle="1" w:styleId="AkapitzlistZnak">
    <w:name w:val="Akapit z listą Znak"/>
    <w:link w:val="Akapitzlist"/>
    <w:uiPriority w:val="99"/>
    <w:rsid w:val="00910DF9"/>
    <w:rPr>
      <w:rFonts w:ascii="Trebuchet MS" w:hAnsi="Trebuchet MS"/>
      <w:szCs w:val="24"/>
      <w:lang w:val="de-DE" w:eastAsia="de-DE"/>
    </w:rPr>
  </w:style>
  <w:style w:type="character" w:customStyle="1" w:styleId="FootnoteTextChar">
    <w:name w:val="Footnote Text Char"/>
    <w:aliases w:val="ESPON Footnote Text Char"/>
    <w:link w:val="FootnoteText"/>
    <w:rsid w:val="00910DF9"/>
    <w:rPr>
      <w:rFonts w:ascii="Times" w:eastAsia="Cambria" w:hAnsi="Times"/>
      <w:lang w:val="de-DE" w:eastAsia="de-DE"/>
    </w:rPr>
  </w:style>
  <w:style w:type="paragraph" w:styleId="CommentSubject">
    <w:name w:val="annotation subject"/>
    <w:basedOn w:val="CommentText"/>
    <w:next w:val="CommentText"/>
    <w:link w:val="CommentSubjectChar"/>
    <w:rsid w:val="00200570"/>
    <w:pPr>
      <w:spacing w:after="0"/>
    </w:pPr>
    <w:rPr>
      <w:b/>
      <w:bCs/>
      <w:lang w:val="da-DK" w:eastAsia="en-US"/>
    </w:rPr>
  </w:style>
  <w:style w:type="character" w:customStyle="1" w:styleId="CommentSubjectChar">
    <w:name w:val="Comment Subject Char"/>
    <w:link w:val="CommentSubject"/>
    <w:rsid w:val="00200570"/>
    <w:rPr>
      <w:b/>
      <w:bCs/>
      <w:lang w:val="da-DK" w:eastAsia="en-US"/>
    </w:rPr>
  </w:style>
  <w:style w:type="character" w:customStyle="1" w:styleId="Heading2Char">
    <w:name w:val="Heading 2 Char"/>
    <w:link w:val="Heading2"/>
    <w:uiPriority w:val="9"/>
    <w:rsid w:val="0092113F"/>
    <w:rPr>
      <w:rFonts w:ascii="Trebuchet MS" w:hAnsi="Trebuchet MS"/>
      <w:b/>
      <w:bCs/>
      <w:color w:val="D60093"/>
      <w:kern w:val="32"/>
      <w:sz w:val="32"/>
      <w:szCs w:val="32"/>
      <w:lang w:val="en-GB" w:eastAsia="en-US"/>
    </w:rPr>
  </w:style>
  <w:style w:type="character" w:customStyle="1" w:styleId="Heading3Char">
    <w:name w:val="Heading 3 Char"/>
    <w:link w:val="Heading3"/>
    <w:semiHidden/>
    <w:rsid w:val="007B44ED"/>
    <w:rPr>
      <w:rFonts w:ascii="Cambria" w:eastAsia="Times New Roman" w:hAnsi="Cambria" w:cs="Times New Roman"/>
      <w:b/>
      <w:bCs/>
      <w:sz w:val="26"/>
      <w:szCs w:val="26"/>
      <w:lang w:val="da-DK" w:eastAsia="en-US"/>
    </w:rPr>
  </w:style>
  <w:style w:type="paragraph" w:styleId="Header">
    <w:name w:val="header"/>
    <w:basedOn w:val="Normal"/>
    <w:link w:val="HeaderChar"/>
    <w:uiPriority w:val="99"/>
    <w:rsid w:val="009F25AF"/>
    <w:pPr>
      <w:tabs>
        <w:tab w:val="center" w:pos="4536"/>
        <w:tab w:val="right" w:pos="9072"/>
      </w:tabs>
      <w:spacing w:after="200"/>
    </w:pPr>
    <w:rPr>
      <w:lang w:val="en-GB"/>
    </w:rPr>
  </w:style>
  <w:style w:type="character" w:customStyle="1" w:styleId="HeaderChar">
    <w:name w:val="Header Char"/>
    <w:link w:val="Header"/>
    <w:uiPriority w:val="99"/>
    <w:rsid w:val="009F25AF"/>
    <w:rPr>
      <w:sz w:val="24"/>
      <w:szCs w:val="24"/>
      <w:lang w:val="en-GB" w:eastAsia="en-US"/>
    </w:rPr>
  </w:style>
  <w:style w:type="paragraph" w:styleId="Footer">
    <w:name w:val="footer"/>
    <w:basedOn w:val="Normal"/>
    <w:link w:val="FooterChar"/>
    <w:rsid w:val="00822DC3"/>
    <w:pPr>
      <w:tabs>
        <w:tab w:val="center" w:pos="4536"/>
        <w:tab w:val="right" w:pos="9072"/>
      </w:tabs>
      <w:spacing w:after="200"/>
    </w:pPr>
    <w:rPr>
      <w:lang w:val="x-none"/>
    </w:rPr>
  </w:style>
  <w:style w:type="character" w:customStyle="1" w:styleId="FooterChar">
    <w:name w:val="Footer Char"/>
    <w:link w:val="Footer"/>
    <w:rsid w:val="00822DC3"/>
    <w:rPr>
      <w:sz w:val="24"/>
      <w:szCs w:val="24"/>
      <w:lang w:val="x-none" w:eastAsia="en-US"/>
    </w:rPr>
  </w:style>
  <w:style w:type="paragraph" w:styleId="ListParagraph">
    <w:name w:val="List Paragraph"/>
    <w:basedOn w:val="Normal"/>
    <w:uiPriority w:val="72"/>
    <w:rsid w:val="00F3486B"/>
    <w:pPr>
      <w:ind w:left="720"/>
      <w:contextualSpacing/>
    </w:pPr>
  </w:style>
  <w:style w:type="paragraph" w:customStyle="1" w:styleId="Headline">
    <w:name w:val="Headline"/>
    <w:basedOn w:val="Normal"/>
    <w:next w:val="Normal"/>
    <w:rsid w:val="00AA0BA7"/>
    <w:pPr>
      <w:spacing w:after="200"/>
      <w:outlineLvl w:val="0"/>
    </w:pPr>
    <w:rPr>
      <w:rFonts w:ascii="Trebuchet MS Bold" w:eastAsia="Cambria" w:hAnsi="Trebuchet MS Bold"/>
      <w:color w:val="003777"/>
      <w:sz w:val="60"/>
      <w:lang w:val="de-DE"/>
    </w:rPr>
  </w:style>
  <w:style w:type="paragraph" w:customStyle="1" w:styleId="ListParagraph1">
    <w:name w:val="List Paragraph1"/>
    <w:basedOn w:val="Normal"/>
    <w:link w:val="ListParagraphChar"/>
    <w:uiPriority w:val="99"/>
    <w:qFormat/>
    <w:rsid w:val="00AA0BA7"/>
    <w:pPr>
      <w:ind w:left="720"/>
      <w:contextualSpacing/>
    </w:pPr>
    <w:rPr>
      <w:rFonts w:ascii="Trebuchet MS" w:hAnsi="Trebuchet MS"/>
      <w:sz w:val="20"/>
      <w:lang w:val="x-none" w:eastAsia="x-none"/>
    </w:rPr>
  </w:style>
  <w:style w:type="character" w:customStyle="1" w:styleId="ListParagraphChar">
    <w:name w:val="List Paragraph Char"/>
    <w:link w:val="ListParagraph1"/>
    <w:uiPriority w:val="99"/>
    <w:rsid w:val="00AA0BA7"/>
    <w:rPr>
      <w:rFonts w:ascii="Trebuchet MS" w:hAnsi="Trebuchet MS"/>
      <w:szCs w:val="24"/>
      <w:lang w:val="x-none" w:eastAsia="x-none"/>
    </w:rPr>
  </w:style>
  <w:style w:type="character" w:customStyle="1" w:styleId="Corpsdutexte3">
    <w:name w:val="Corps du texte (3)_"/>
    <w:link w:val="Corpsdutexte30"/>
    <w:uiPriority w:val="99"/>
    <w:locked/>
    <w:rsid w:val="004B0089"/>
    <w:rPr>
      <w:b/>
      <w:bCs/>
      <w:sz w:val="23"/>
      <w:szCs w:val="23"/>
      <w:shd w:val="clear" w:color="auto" w:fill="FFFFFF"/>
      <w:lang w:val="fr-FR" w:eastAsia="fr-FR"/>
    </w:rPr>
  </w:style>
  <w:style w:type="paragraph" w:customStyle="1" w:styleId="Corpsdutexte30">
    <w:name w:val="Corps du texte (3)"/>
    <w:basedOn w:val="Normal"/>
    <w:link w:val="Corpsdutexte3"/>
    <w:uiPriority w:val="99"/>
    <w:rsid w:val="004B0089"/>
    <w:pPr>
      <w:widowControl w:val="0"/>
      <w:shd w:val="clear" w:color="auto" w:fill="FFFFFF"/>
      <w:spacing w:before="4440" w:line="514" w:lineRule="exact"/>
      <w:jc w:val="center"/>
    </w:pPr>
    <w:rPr>
      <w:b/>
      <w:bCs/>
      <w:sz w:val="23"/>
      <w:szCs w:val="23"/>
      <w:lang w:val="fr-FR" w:eastAsia="fr-FR"/>
    </w:rPr>
  </w:style>
  <w:style w:type="character" w:customStyle="1" w:styleId="Corpsdutexte">
    <w:name w:val="Corps du texte_"/>
    <w:link w:val="Corpsdutexte1"/>
    <w:uiPriority w:val="99"/>
    <w:locked/>
    <w:rsid w:val="00DA4A2B"/>
    <w:rPr>
      <w:sz w:val="23"/>
      <w:szCs w:val="23"/>
      <w:shd w:val="clear" w:color="auto" w:fill="FFFFFF"/>
    </w:rPr>
  </w:style>
  <w:style w:type="paragraph" w:customStyle="1" w:styleId="Corpsdutexte1">
    <w:name w:val="Corps du texte1"/>
    <w:basedOn w:val="Normal"/>
    <w:link w:val="Corpsdutexte"/>
    <w:uiPriority w:val="99"/>
    <w:rsid w:val="00DA4A2B"/>
    <w:pPr>
      <w:widowControl w:val="0"/>
      <w:shd w:val="clear" w:color="auto" w:fill="FFFFFF"/>
      <w:spacing w:before="420" w:after="120" w:line="274" w:lineRule="exact"/>
      <w:ind w:hanging="680"/>
      <w:jc w:val="both"/>
    </w:pPr>
    <w:rPr>
      <w:sz w:val="23"/>
      <w:szCs w:val="23"/>
      <w:lang w:val="en-GB"/>
    </w:rPr>
  </w:style>
  <w:style w:type="paragraph" w:customStyle="1" w:styleId="Entry1withLine">
    <w:name w:val="Entry 1 with Line"/>
    <w:next w:val="Normal"/>
    <w:qFormat/>
    <w:rsid w:val="008821B7"/>
    <w:pPr>
      <w:pBdr>
        <w:bottom w:val="single" w:sz="4" w:space="10" w:color="262727"/>
        <w:between w:val="single" w:sz="4" w:space="1" w:color="262727"/>
      </w:pBdr>
      <w:tabs>
        <w:tab w:val="left" w:pos="1843"/>
        <w:tab w:val="left" w:pos="2124"/>
        <w:tab w:val="left" w:pos="2832"/>
        <w:tab w:val="left" w:pos="6980"/>
      </w:tabs>
      <w:spacing w:after="200"/>
    </w:pPr>
    <w:rPr>
      <w:rFonts w:ascii="Arial" w:eastAsia="Cambria" w:hAnsi="Arial"/>
      <w:color w:val="262727"/>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7C1FE-358F-4E01-87B9-11B77E7C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8903</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Programme-specific</vt:lpstr>
      <vt:lpstr>Programme-specific</vt:lpstr>
    </vt:vector>
  </TitlesOfParts>
  <Company>Region midtjylland</Company>
  <LinksUpToDate>false</LinksUpToDate>
  <CharactersWithSpaces>10344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Programme-specific</dc:title>
  <dc:creator>KARBAC</dc:creator>
  <cp:lastModifiedBy>Stockhammer Katrin</cp:lastModifiedBy>
  <cp:revision>40</cp:revision>
  <cp:lastPrinted>2014-05-26T11:14:00Z</cp:lastPrinted>
  <dcterms:created xsi:type="dcterms:W3CDTF">2014-05-26T12:12:00Z</dcterms:created>
  <dcterms:modified xsi:type="dcterms:W3CDTF">2014-10-28T08:10:00Z</dcterms:modified>
</cp:coreProperties>
</file>